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05998" w14:textId="77A66686" w:rsidR="00935B17" w:rsidRPr="00571AE1" w:rsidRDefault="00935B17" w:rsidP="00C04415">
      <w:pPr>
        <w:jc w:val="right"/>
        <w:rPr>
          <w:rFonts w:ascii="Arial" w:hAnsi="Arial" w:cs="Arial"/>
          <w:sz w:val="20"/>
          <w:szCs w:val="20"/>
          <w:lang w:val="es-MX"/>
        </w:rPr>
      </w:pPr>
      <w:r w:rsidRPr="00571AE1">
        <w:rPr>
          <w:rFonts w:ascii="Arial" w:hAnsi="Arial" w:cs="Arial"/>
          <w:sz w:val="20"/>
          <w:szCs w:val="20"/>
          <w:lang w:val="es-MX"/>
        </w:rPr>
        <w:t xml:space="preserve">Oficio No. </w:t>
      </w:r>
      <w:r w:rsidRPr="007B3FE3">
        <w:rPr>
          <w:rFonts w:ascii="Arial" w:hAnsi="Arial" w:cs="Arial"/>
          <w:sz w:val="20"/>
          <w:szCs w:val="20"/>
          <w:lang w:val="es-MX"/>
        </w:rPr>
        <w:t>FGR/UTAG/DG/</w:t>
      </w:r>
      <w:r w:rsidR="007B3FE3" w:rsidRPr="007B3FE3">
        <w:rPr>
          <w:rFonts w:ascii="Arial" w:hAnsi="Arial" w:cs="Arial"/>
          <w:sz w:val="20"/>
          <w:szCs w:val="20"/>
          <w:lang w:val="es-MX"/>
        </w:rPr>
        <w:t>00479</w:t>
      </w:r>
      <w:r w:rsidR="008D26AD">
        <w:rPr>
          <w:rFonts w:ascii="Arial" w:hAnsi="Arial" w:cs="Arial"/>
          <w:sz w:val="20"/>
          <w:szCs w:val="20"/>
          <w:lang w:val="es-MX"/>
        </w:rPr>
        <w:t>4</w:t>
      </w:r>
      <w:r w:rsidRPr="007B3FE3">
        <w:rPr>
          <w:rFonts w:ascii="Arial" w:hAnsi="Arial" w:cs="Arial"/>
          <w:sz w:val="20"/>
          <w:szCs w:val="20"/>
          <w:lang w:val="es-MX"/>
        </w:rPr>
        <w:t>/20</w:t>
      </w:r>
      <w:r w:rsidR="00FC5ADC" w:rsidRPr="007B3FE3">
        <w:rPr>
          <w:rFonts w:ascii="Arial" w:hAnsi="Arial" w:cs="Arial"/>
          <w:sz w:val="20"/>
          <w:szCs w:val="20"/>
          <w:lang w:val="es-MX"/>
        </w:rPr>
        <w:t>20</w:t>
      </w:r>
    </w:p>
    <w:p w14:paraId="3459F8C2" w14:textId="77777777" w:rsidR="00935B17" w:rsidRPr="00571AE1" w:rsidRDefault="00935B17" w:rsidP="00C04415">
      <w:pPr>
        <w:jc w:val="right"/>
        <w:rPr>
          <w:rFonts w:ascii="Arial" w:hAnsi="Arial" w:cs="Arial"/>
          <w:sz w:val="20"/>
          <w:szCs w:val="20"/>
          <w:lang w:val="es-MX"/>
        </w:rPr>
      </w:pPr>
      <w:r w:rsidRPr="00571AE1">
        <w:rPr>
          <w:rFonts w:ascii="Arial" w:hAnsi="Arial" w:cs="Arial"/>
          <w:b/>
          <w:sz w:val="20"/>
          <w:szCs w:val="20"/>
          <w:lang w:val="es-MX"/>
        </w:rPr>
        <w:t>Asunto:</w:t>
      </w:r>
      <w:r w:rsidRPr="00571AE1">
        <w:rPr>
          <w:rFonts w:ascii="Arial" w:hAnsi="Arial" w:cs="Arial"/>
          <w:sz w:val="20"/>
          <w:szCs w:val="20"/>
          <w:lang w:val="es-MX"/>
        </w:rPr>
        <w:t xml:space="preserve"> Entrega de información en medio electrónico. </w:t>
      </w:r>
    </w:p>
    <w:p w14:paraId="7AA8EA76" w14:textId="77777777" w:rsidR="002D05B7" w:rsidRPr="00571AE1" w:rsidRDefault="002D05B7" w:rsidP="00C04415">
      <w:pPr>
        <w:jc w:val="right"/>
        <w:rPr>
          <w:rFonts w:ascii="Arial" w:hAnsi="Arial" w:cs="Arial"/>
          <w:sz w:val="20"/>
          <w:szCs w:val="20"/>
          <w:lang w:val="es-MX"/>
        </w:rPr>
      </w:pPr>
    </w:p>
    <w:p w14:paraId="3D37B5B7" w14:textId="13D03883" w:rsidR="000C29A4" w:rsidRPr="00571AE1" w:rsidRDefault="000C29A4" w:rsidP="00C04415">
      <w:pPr>
        <w:contextualSpacing/>
        <w:jc w:val="right"/>
        <w:rPr>
          <w:rFonts w:ascii="Arial" w:hAnsi="Arial" w:cs="Arial"/>
          <w:sz w:val="20"/>
          <w:szCs w:val="20"/>
          <w:lang w:val="es-MX"/>
        </w:rPr>
      </w:pPr>
      <w:r w:rsidRPr="00571AE1">
        <w:rPr>
          <w:rFonts w:ascii="Arial" w:hAnsi="Arial" w:cs="Arial"/>
          <w:sz w:val="20"/>
          <w:szCs w:val="20"/>
          <w:lang w:val="es-MX"/>
        </w:rPr>
        <w:t xml:space="preserve">Ciudad de México, a </w:t>
      </w:r>
      <w:r w:rsidR="007C0CD7">
        <w:rPr>
          <w:rFonts w:ascii="Arial" w:hAnsi="Arial" w:cs="Arial"/>
          <w:sz w:val="20"/>
          <w:szCs w:val="20"/>
          <w:lang w:val="es-MX"/>
        </w:rPr>
        <w:t>17</w:t>
      </w:r>
      <w:r w:rsidRPr="00571AE1">
        <w:rPr>
          <w:rFonts w:ascii="Arial" w:hAnsi="Arial" w:cs="Arial"/>
          <w:sz w:val="20"/>
          <w:szCs w:val="20"/>
          <w:lang w:val="es-MX"/>
        </w:rPr>
        <w:t xml:space="preserve"> de </w:t>
      </w:r>
      <w:r w:rsidR="007C0CD7">
        <w:rPr>
          <w:rFonts w:ascii="Arial" w:hAnsi="Arial" w:cs="Arial"/>
          <w:sz w:val="20"/>
          <w:szCs w:val="20"/>
          <w:lang w:val="es-MX"/>
        </w:rPr>
        <w:t>noviembre</w:t>
      </w:r>
      <w:r w:rsidRPr="00571AE1">
        <w:rPr>
          <w:rFonts w:ascii="Arial" w:hAnsi="Arial" w:cs="Arial"/>
          <w:sz w:val="20"/>
          <w:szCs w:val="20"/>
          <w:lang w:val="es-MX"/>
        </w:rPr>
        <w:t xml:space="preserve"> del 2020</w:t>
      </w:r>
    </w:p>
    <w:p w14:paraId="1D430945" w14:textId="77777777" w:rsidR="000C29A4" w:rsidRPr="00571AE1" w:rsidRDefault="000C29A4" w:rsidP="00C04415">
      <w:pPr>
        <w:jc w:val="right"/>
        <w:rPr>
          <w:rFonts w:ascii="Arial" w:hAnsi="Arial" w:cs="Arial"/>
          <w:i/>
          <w:sz w:val="20"/>
          <w:szCs w:val="20"/>
          <w:lang w:val="es-MX"/>
        </w:rPr>
      </w:pPr>
      <w:r w:rsidRPr="00571AE1">
        <w:rPr>
          <w:rFonts w:ascii="Arial" w:hAnsi="Arial" w:cs="Arial"/>
          <w:i/>
          <w:sz w:val="20"/>
          <w:szCs w:val="20"/>
          <w:lang w:val="es-MX"/>
        </w:rPr>
        <w:t>“2020, Año de Leona Vicario, Benemérita madre de la Patria”</w:t>
      </w:r>
    </w:p>
    <w:p w14:paraId="2FC7631A" w14:textId="77777777" w:rsidR="001446FB" w:rsidRPr="00571AE1" w:rsidRDefault="001446FB" w:rsidP="00C04415">
      <w:pPr>
        <w:pStyle w:val="Textoindependiente"/>
        <w:rPr>
          <w:rFonts w:ascii="Arial" w:eastAsiaTheme="minorHAnsi" w:hAnsi="Arial" w:cs="Arial"/>
          <w:sz w:val="24"/>
          <w:szCs w:val="24"/>
          <w:lang w:val="es-MX" w:eastAsia="en-US"/>
        </w:rPr>
      </w:pPr>
    </w:p>
    <w:p w14:paraId="0F31976B" w14:textId="6083B4E6" w:rsidR="00935B17" w:rsidRPr="00571AE1" w:rsidRDefault="00935B17" w:rsidP="00C04415">
      <w:pPr>
        <w:pStyle w:val="Textoindependiente"/>
        <w:rPr>
          <w:rFonts w:ascii="Arial" w:eastAsiaTheme="minorHAnsi" w:hAnsi="Arial" w:cs="Arial"/>
          <w:b w:val="0"/>
          <w:sz w:val="24"/>
          <w:szCs w:val="24"/>
          <w:lang w:val="es-MX" w:eastAsia="en-US"/>
        </w:rPr>
      </w:pPr>
      <w:r w:rsidRPr="00571AE1">
        <w:rPr>
          <w:rFonts w:ascii="Arial" w:eastAsiaTheme="minorHAnsi" w:hAnsi="Arial" w:cs="Arial"/>
          <w:sz w:val="24"/>
          <w:szCs w:val="24"/>
          <w:lang w:val="es-MX" w:eastAsia="en-US"/>
        </w:rPr>
        <w:t xml:space="preserve">FOLIO. - </w:t>
      </w:r>
      <w:r w:rsidR="00CB5FF5" w:rsidRPr="00571AE1">
        <w:rPr>
          <w:rFonts w:ascii="Arial" w:eastAsiaTheme="minorHAnsi" w:hAnsi="Arial" w:cs="Arial"/>
          <w:sz w:val="24"/>
          <w:szCs w:val="24"/>
          <w:lang w:val="es-MX" w:eastAsia="en-US"/>
        </w:rPr>
        <w:t>0001700</w:t>
      </w:r>
      <w:r w:rsidR="007C0CD7">
        <w:rPr>
          <w:rFonts w:ascii="Arial" w:eastAsiaTheme="minorHAnsi" w:hAnsi="Arial" w:cs="Arial"/>
          <w:sz w:val="24"/>
          <w:szCs w:val="24"/>
          <w:lang w:val="es-MX" w:eastAsia="en-US"/>
        </w:rPr>
        <w:t>965</w:t>
      </w:r>
      <w:r w:rsidR="008D26AD">
        <w:rPr>
          <w:rFonts w:ascii="Arial" w:eastAsiaTheme="minorHAnsi" w:hAnsi="Arial" w:cs="Arial"/>
          <w:sz w:val="24"/>
          <w:szCs w:val="24"/>
          <w:lang w:val="es-MX" w:eastAsia="en-US"/>
        </w:rPr>
        <w:t>92</w:t>
      </w:r>
      <w:r w:rsidR="000C29A4" w:rsidRPr="00571AE1">
        <w:rPr>
          <w:rFonts w:ascii="Arial" w:eastAsiaTheme="minorHAnsi" w:hAnsi="Arial" w:cs="Arial"/>
          <w:sz w:val="24"/>
          <w:szCs w:val="24"/>
          <w:lang w:val="es-MX" w:eastAsia="en-US"/>
        </w:rPr>
        <w:t>0</w:t>
      </w:r>
    </w:p>
    <w:p w14:paraId="7C8A9578" w14:textId="77777777" w:rsidR="00935B17" w:rsidRPr="00571AE1" w:rsidRDefault="00093A2A" w:rsidP="00C04415">
      <w:pPr>
        <w:pStyle w:val="Textoindependiente"/>
        <w:rPr>
          <w:rFonts w:ascii="Arial" w:hAnsi="Arial" w:cs="Arial"/>
          <w:sz w:val="24"/>
          <w:szCs w:val="24"/>
          <w:lang w:val="es-MX"/>
        </w:rPr>
      </w:pPr>
      <w:r w:rsidRPr="00571AE1">
        <w:rPr>
          <w:rFonts w:ascii="Arial" w:eastAsiaTheme="minorHAnsi" w:hAnsi="Arial" w:cs="Arial"/>
          <w:sz w:val="24"/>
          <w:szCs w:val="24"/>
          <w:lang w:val="es-MX" w:eastAsia="en-US"/>
        </w:rPr>
        <w:t>P r e s e n t e.</w:t>
      </w:r>
    </w:p>
    <w:p w14:paraId="6B95263C" w14:textId="77777777" w:rsidR="00935B17" w:rsidRPr="00571AE1" w:rsidRDefault="00935B17" w:rsidP="00C04415">
      <w:pPr>
        <w:pStyle w:val="Textoindependiente"/>
        <w:rPr>
          <w:rFonts w:ascii="Arial" w:hAnsi="Arial" w:cs="Arial"/>
          <w:b w:val="0"/>
          <w:sz w:val="24"/>
          <w:szCs w:val="24"/>
          <w:lang w:val="es-MX"/>
        </w:rPr>
      </w:pPr>
    </w:p>
    <w:p w14:paraId="53E8BF8F" w14:textId="771FBE84" w:rsidR="00935B17" w:rsidRPr="00571AE1" w:rsidRDefault="00935B17" w:rsidP="00C04415">
      <w:pPr>
        <w:pStyle w:val="Textoindependiente"/>
        <w:rPr>
          <w:rFonts w:ascii="Arial" w:hAnsi="Arial" w:cs="Arial"/>
          <w:b w:val="0"/>
          <w:sz w:val="21"/>
          <w:szCs w:val="21"/>
          <w:lang w:val="es-MX"/>
        </w:rPr>
      </w:pPr>
      <w:r w:rsidRPr="00571AE1">
        <w:rPr>
          <w:rFonts w:ascii="Arial" w:hAnsi="Arial" w:cs="Arial"/>
          <w:b w:val="0"/>
          <w:sz w:val="21"/>
          <w:szCs w:val="21"/>
          <w:lang w:val="es-MX"/>
        </w:rPr>
        <w:t xml:space="preserve">Con fundamento en lo establecido en el artículo 6° de la </w:t>
      </w:r>
      <w:r w:rsidRPr="00571AE1">
        <w:rPr>
          <w:rFonts w:ascii="Arial" w:hAnsi="Arial" w:cs="Arial"/>
          <w:b w:val="0"/>
          <w:i/>
          <w:sz w:val="21"/>
          <w:szCs w:val="21"/>
          <w:lang w:val="es-MX"/>
        </w:rPr>
        <w:t>Constitución Política de los Estados Unidos Mexicanos</w:t>
      </w:r>
      <w:r w:rsidRPr="00571AE1">
        <w:rPr>
          <w:rFonts w:ascii="Arial" w:hAnsi="Arial" w:cs="Arial"/>
          <w:b w:val="0"/>
          <w:sz w:val="21"/>
          <w:szCs w:val="21"/>
          <w:lang w:val="es-MX"/>
        </w:rPr>
        <w:t xml:space="preserve"> (</w:t>
      </w:r>
      <w:r w:rsidRPr="00571AE1">
        <w:rPr>
          <w:rFonts w:ascii="Arial" w:hAnsi="Arial" w:cs="Arial"/>
          <w:bCs/>
          <w:sz w:val="21"/>
          <w:szCs w:val="21"/>
          <w:lang w:val="es-MX"/>
        </w:rPr>
        <w:t>CPEUM)</w:t>
      </w:r>
      <w:r w:rsidRPr="00571AE1">
        <w:rPr>
          <w:rFonts w:ascii="Arial" w:hAnsi="Arial" w:cs="Arial"/>
          <w:b w:val="0"/>
          <w:sz w:val="21"/>
          <w:szCs w:val="21"/>
          <w:lang w:val="es-MX"/>
        </w:rPr>
        <w:t xml:space="preserve">; 1°, 2, 61, 121, 134 y 135 de la </w:t>
      </w:r>
      <w:r w:rsidRPr="007A52F4">
        <w:rPr>
          <w:rFonts w:ascii="Arial" w:hAnsi="Arial" w:cs="Arial"/>
          <w:b w:val="0"/>
          <w:i/>
          <w:iCs/>
          <w:sz w:val="21"/>
          <w:szCs w:val="21"/>
          <w:lang w:val="es-MX"/>
        </w:rPr>
        <w:t>Ley Federal de Transparencia y Acceso a la Información Pública</w:t>
      </w:r>
      <w:r w:rsidRPr="00571AE1">
        <w:rPr>
          <w:rFonts w:ascii="Arial" w:hAnsi="Arial" w:cs="Arial"/>
          <w:b w:val="0"/>
          <w:sz w:val="21"/>
          <w:szCs w:val="21"/>
          <w:lang w:val="es-MX"/>
        </w:rPr>
        <w:t xml:space="preserve"> (</w:t>
      </w:r>
      <w:r w:rsidRPr="00571AE1">
        <w:rPr>
          <w:rFonts w:ascii="Arial" w:hAnsi="Arial" w:cs="Arial"/>
          <w:bCs/>
          <w:sz w:val="21"/>
          <w:szCs w:val="21"/>
          <w:lang w:val="es-MX"/>
        </w:rPr>
        <w:t>LFTAIP</w:t>
      </w:r>
      <w:r w:rsidRPr="00571AE1">
        <w:rPr>
          <w:rFonts w:ascii="Arial" w:hAnsi="Arial" w:cs="Arial"/>
          <w:b w:val="0"/>
          <w:sz w:val="21"/>
          <w:szCs w:val="21"/>
          <w:lang w:val="es-MX"/>
        </w:rPr>
        <w:t>); así como el Acuerdo A/072/16, por el cual se crea la Unidad de Transparencia y Apertura Gubernamental</w:t>
      </w:r>
      <w:r w:rsidR="005E36FA" w:rsidRPr="00571AE1">
        <w:rPr>
          <w:rFonts w:ascii="Arial" w:hAnsi="Arial" w:cs="Arial"/>
          <w:b w:val="0"/>
          <w:sz w:val="21"/>
          <w:szCs w:val="21"/>
          <w:lang w:val="es-MX"/>
        </w:rPr>
        <w:t xml:space="preserve"> (</w:t>
      </w:r>
      <w:r w:rsidR="005E36FA" w:rsidRPr="00571AE1">
        <w:rPr>
          <w:rFonts w:ascii="Arial" w:hAnsi="Arial" w:cs="Arial"/>
          <w:bCs/>
          <w:sz w:val="21"/>
          <w:szCs w:val="21"/>
          <w:lang w:val="es-MX"/>
        </w:rPr>
        <w:t>UTAG</w:t>
      </w:r>
      <w:r w:rsidR="005E36FA" w:rsidRPr="00571AE1">
        <w:rPr>
          <w:rFonts w:ascii="Arial" w:hAnsi="Arial" w:cs="Arial"/>
          <w:b w:val="0"/>
          <w:sz w:val="21"/>
          <w:szCs w:val="21"/>
          <w:lang w:val="es-MX"/>
        </w:rPr>
        <w:t>)</w:t>
      </w:r>
      <w:r w:rsidRPr="00571AE1">
        <w:rPr>
          <w:rFonts w:ascii="Arial" w:hAnsi="Arial" w:cs="Arial"/>
          <w:b w:val="0"/>
          <w:sz w:val="21"/>
          <w:szCs w:val="21"/>
          <w:lang w:val="es-MX"/>
        </w:rPr>
        <w:t xml:space="preserve">, en relación a su </w:t>
      </w:r>
      <w:r w:rsidRPr="00571AE1">
        <w:rPr>
          <w:rFonts w:ascii="Arial" w:hAnsi="Arial" w:cs="Arial"/>
          <w:sz w:val="21"/>
          <w:szCs w:val="21"/>
          <w:lang w:val="es-MX"/>
        </w:rPr>
        <w:t>solicitud de acceso a la información</w:t>
      </w:r>
      <w:r w:rsidRPr="00571AE1">
        <w:rPr>
          <w:rFonts w:ascii="Arial" w:hAnsi="Arial" w:cs="Arial"/>
          <w:b w:val="0"/>
          <w:sz w:val="21"/>
          <w:szCs w:val="21"/>
          <w:lang w:val="es-MX"/>
        </w:rPr>
        <w:t xml:space="preserve">, la cual dirigió específicamente a la </w:t>
      </w:r>
      <w:r w:rsidRPr="00571AE1">
        <w:rPr>
          <w:rFonts w:ascii="Arial" w:hAnsi="Arial" w:cs="Arial"/>
          <w:sz w:val="21"/>
          <w:szCs w:val="21"/>
          <w:lang w:val="es-MX"/>
        </w:rPr>
        <w:t xml:space="preserve">Fiscalía General de la República </w:t>
      </w:r>
      <w:r w:rsidRPr="00571AE1">
        <w:rPr>
          <w:rFonts w:ascii="Arial" w:hAnsi="Arial" w:cs="Arial"/>
          <w:b w:val="0"/>
          <w:sz w:val="21"/>
          <w:szCs w:val="21"/>
          <w:lang w:val="es-MX"/>
        </w:rPr>
        <w:t>(</w:t>
      </w:r>
      <w:r w:rsidRPr="00571AE1">
        <w:rPr>
          <w:rFonts w:ascii="Arial" w:hAnsi="Arial" w:cs="Arial"/>
          <w:sz w:val="21"/>
          <w:szCs w:val="21"/>
          <w:lang w:val="es-MX"/>
        </w:rPr>
        <w:t>FGR</w:t>
      </w:r>
      <w:r w:rsidRPr="00571AE1">
        <w:rPr>
          <w:rFonts w:ascii="Arial" w:hAnsi="Arial" w:cs="Arial"/>
          <w:b w:val="0"/>
          <w:sz w:val="21"/>
          <w:szCs w:val="21"/>
          <w:lang w:val="es-MX"/>
        </w:rPr>
        <w:t>), consistente en:</w:t>
      </w:r>
    </w:p>
    <w:p w14:paraId="2309C338" w14:textId="77777777" w:rsidR="00935B17" w:rsidRPr="00571AE1" w:rsidRDefault="00935B17" w:rsidP="00C04415">
      <w:pPr>
        <w:pStyle w:val="Textoindependiente"/>
        <w:rPr>
          <w:rFonts w:ascii="Arial" w:hAnsi="Arial" w:cs="Arial"/>
          <w:b w:val="0"/>
          <w:sz w:val="24"/>
          <w:szCs w:val="24"/>
          <w:lang w:val="es-MX"/>
        </w:rPr>
      </w:pPr>
    </w:p>
    <w:p w14:paraId="79105100" w14:textId="77777777" w:rsidR="008D26AD" w:rsidRPr="00C04415" w:rsidRDefault="008D26AD" w:rsidP="00C04415">
      <w:pPr>
        <w:ind w:left="567" w:right="567"/>
        <w:contextualSpacing/>
        <w:jc w:val="both"/>
        <w:rPr>
          <w:rFonts w:ascii="Arial" w:eastAsia="Times New Roman" w:hAnsi="Arial" w:cs="Arial"/>
          <w:i/>
          <w:sz w:val="18"/>
          <w:szCs w:val="21"/>
          <w:lang w:val="es-MX" w:eastAsia="es-ES"/>
        </w:rPr>
      </w:pPr>
      <w:bookmarkStart w:id="0" w:name="_Hlk35516177"/>
      <w:bookmarkStart w:id="1" w:name="_Hlk42782279"/>
      <w:r w:rsidRPr="009B7E1C">
        <w:rPr>
          <w:rFonts w:ascii="Arial" w:eastAsia="Times New Roman" w:hAnsi="Arial" w:cs="Arial"/>
          <w:i/>
          <w:sz w:val="18"/>
          <w:szCs w:val="21"/>
          <w:lang w:val="es-MX" w:eastAsia="es-ES"/>
        </w:rPr>
        <w:t>“</w:t>
      </w:r>
      <w:r w:rsidRPr="00DB534B">
        <w:rPr>
          <w:rFonts w:ascii="Arial" w:eastAsia="Times New Roman" w:hAnsi="Arial" w:cs="Arial"/>
          <w:i/>
          <w:sz w:val="18"/>
          <w:szCs w:val="21"/>
          <w:lang w:val="es-MX" w:eastAsia="es-ES"/>
        </w:rPr>
        <w:t xml:space="preserve">Solicito conocer el </w:t>
      </w:r>
      <w:r w:rsidRPr="00DB534B">
        <w:rPr>
          <w:rFonts w:ascii="Arial" w:eastAsia="Times New Roman" w:hAnsi="Arial" w:cs="Arial"/>
          <w:b/>
          <w:bCs/>
          <w:i/>
          <w:sz w:val="18"/>
          <w:szCs w:val="21"/>
          <w:lang w:val="es-MX" w:eastAsia="es-ES"/>
        </w:rPr>
        <w:t xml:space="preserve">número de cadáveres y osamentas registrados </w:t>
      </w:r>
      <w:r w:rsidRPr="00C04415">
        <w:rPr>
          <w:rFonts w:ascii="Arial" w:eastAsia="Times New Roman" w:hAnsi="Arial" w:cs="Arial"/>
          <w:b/>
          <w:bCs/>
          <w:i/>
          <w:sz w:val="18"/>
          <w:szCs w:val="21"/>
          <w:lang w:val="es-MX" w:eastAsia="es-ES"/>
        </w:rPr>
        <w:t>como no identificados por la Coordinación General de Servicios Periciales</w:t>
      </w:r>
      <w:r w:rsidRPr="00C04415">
        <w:rPr>
          <w:rFonts w:ascii="Arial" w:eastAsia="Times New Roman" w:hAnsi="Arial" w:cs="Arial"/>
          <w:i/>
          <w:sz w:val="18"/>
          <w:szCs w:val="21"/>
          <w:lang w:val="es-MX" w:eastAsia="es-ES"/>
        </w:rPr>
        <w:t>, y en cualquier otro lugar en el que se ingresen cuerpos, cadáveres y osamentas y que pertenezcan a la jurisdicción de esta dependencia, del 1 de enero de 2006 al 31 de agosto de 2020.</w:t>
      </w:r>
    </w:p>
    <w:p w14:paraId="02005933" w14:textId="77777777" w:rsidR="008D26AD" w:rsidRPr="00C04415" w:rsidRDefault="008D26AD" w:rsidP="00C04415">
      <w:pPr>
        <w:ind w:left="567" w:right="567"/>
        <w:contextualSpacing/>
        <w:jc w:val="both"/>
        <w:rPr>
          <w:rFonts w:ascii="Arial" w:eastAsia="Times New Roman" w:hAnsi="Arial" w:cs="Arial"/>
          <w:i/>
          <w:sz w:val="18"/>
          <w:szCs w:val="21"/>
          <w:lang w:val="es-MX" w:eastAsia="es-ES"/>
        </w:rPr>
      </w:pPr>
      <w:r w:rsidRPr="00C04415">
        <w:rPr>
          <w:rFonts w:ascii="Arial" w:eastAsia="Times New Roman" w:hAnsi="Arial" w:cs="Arial"/>
          <w:i/>
          <w:sz w:val="18"/>
          <w:szCs w:val="21"/>
          <w:lang w:val="es-MX" w:eastAsia="es-ES"/>
        </w:rPr>
        <w:t xml:space="preserve">En caso de existir la información anteriormente mencionada, solicito que esa </w:t>
      </w:r>
      <w:r w:rsidRPr="00C04415">
        <w:rPr>
          <w:rFonts w:ascii="Arial" w:eastAsia="Times New Roman" w:hAnsi="Arial" w:cs="Arial"/>
          <w:b/>
          <w:bCs/>
          <w:i/>
          <w:sz w:val="18"/>
          <w:szCs w:val="21"/>
          <w:lang w:val="es-MX" w:eastAsia="es-ES"/>
        </w:rPr>
        <w:t>sea desagregada por</w:t>
      </w:r>
    </w:p>
    <w:p w14:paraId="626AB817" w14:textId="77777777" w:rsidR="008D26AD" w:rsidRPr="00C04415" w:rsidRDefault="008D26AD" w:rsidP="00C04415">
      <w:pPr>
        <w:ind w:left="567" w:right="567"/>
        <w:contextualSpacing/>
        <w:jc w:val="both"/>
        <w:rPr>
          <w:rFonts w:ascii="Arial" w:eastAsia="Times New Roman" w:hAnsi="Arial" w:cs="Arial"/>
          <w:i/>
          <w:sz w:val="18"/>
          <w:szCs w:val="21"/>
          <w:lang w:val="es-MX" w:eastAsia="es-ES"/>
        </w:rPr>
      </w:pPr>
      <w:r w:rsidRPr="00C04415">
        <w:rPr>
          <w:rFonts w:ascii="Arial" w:eastAsia="Times New Roman" w:hAnsi="Arial" w:cs="Arial"/>
          <w:i/>
          <w:sz w:val="18"/>
          <w:szCs w:val="21"/>
          <w:lang w:val="es-MX" w:eastAsia="es-ES"/>
        </w:rPr>
        <w:t xml:space="preserve">1. El número de </w:t>
      </w:r>
      <w:r w:rsidRPr="00C04415">
        <w:rPr>
          <w:rFonts w:ascii="Arial" w:eastAsia="Times New Roman" w:hAnsi="Arial" w:cs="Arial"/>
          <w:b/>
          <w:bCs/>
          <w:i/>
          <w:sz w:val="18"/>
          <w:szCs w:val="21"/>
          <w:lang w:val="es-MX" w:eastAsia="es-ES"/>
        </w:rPr>
        <w:t xml:space="preserve">cuerpos, cadáveres y osamentas </w:t>
      </w:r>
      <w:r w:rsidRPr="00E93460">
        <w:rPr>
          <w:rFonts w:ascii="Arial" w:eastAsia="Times New Roman" w:hAnsi="Arial" w:cs="Arial"/>
          <w:b/>
          <w:bCs/>
          <w:i/>
          <w:sz w:val="18"/>
          <w:szCs w:val="21"/>
          <w:lang w:val="es-MX" w:eastAsia="es-ES"/>
        </w:rPr>
        <w:t>no identificados</w:t>
      </w:r>
      <w:r w:rsidRPr="00C04415">
        <w:rPr>
          <w:rFonts w:ascii="Arial" w:eastAsia="Times New Roman" w:hAnsi="Arial" w:cs="Arial"/>
          <w:i/>
          <w:sz w:val="18"/>
          <w:szCs w:val="21"/>
          <w:lang w:val="es-MX" w:eastAsia="es-ES"/>
        </w:rPr>
        <w:t xml:space="preserve"> </w:t>
      </w:r>
      <w:r w:rsidRPr="00C04415">
        <w:rPr>
          <w:rFonts w:ascii="Arial" w:eastAsia="Times New Roman" w:hAnsi="Arial" w:cs="Arial"/>
          <w:b/>
          <w:bCs/>
          <w:i/>
          <w:sz w:val="18"/>
          <w:szCs w:val="21"/>
          <w:lang w:val="es-MX" w:eastAsia="es-ES"/>
        </w:rPr>
        <w:t xml:space="preserve">que han recibido y/o han sido registrados </w:t>
      </w:r>
      <w:r w:rsidRPr="00C04415">
        <w:rPr>
          <w:rFonts w:ascii="Arial" w:eastAsia="Times New Roman" w:hAnsi="Arial" w:cs="Arial"/>
          <w:i/>
          <w:sz w:val="18"/>
          <w:szCs w:val="21"/>
          <w:lang w:val="es-MX" w:eastAsia="es-ES"/>
        </w:rPr>
        <w:t>por esta autoridad cada año de 2006 al 31 de agosto de 2020.</w:t>
      </w:r>
    </w:p>
    <w:p w14:paraId="33253DE6" w14:textId="77777777" w:rsidR="008D26AD" w:rsidRPr="00C04415" w:rsidRDefault="008D26AD" w:rsidP="00C04415">
      <w:pPr>
        <w:ind w:left="567" w:right="567"/>
        <w:contextualSpacing/>
        <w:jc w:val="both"/>
        <w:rPr>
          <w:rFonts w:ascii="Arial" w:eastAsia="Times New Roman" w:hAnsi="Arial" w:cs="Arial"/>
          <w:i/>
          <w:sz w:val="18"/>
          <w:szCs w:val="21"/>
          <w:lang w:val="es-MX" w:eastAsia="es-ES"/>
        </w:rPr>
      </w:pPr>
      <w:r w:rsidRPr="00C04415">
        <w:rPr>
          <w:rFonts w:ascii="Arial" w:eastAsia="Times New Roman" w:hAnsi="Arial" w:cs="Arial"/>
          <w:i/>
          <w:sz w:val="18"/>
          <w:szCs w:val="21"/>
          <w:lang w:val="es-MX" w:eastAsia="es-ES"/>
        </w:rPr>
        <w:t xml:space="preserve">2. El número de cuerpos, cadáveres y osamentas ingresados como </w:t>
      </w:r>
      <w:r w:rsidRPr="00E93460">
        <w:rPr>
          <w:rFonts w:ascii="Arial" w:eastAsia="Times New Roman" w:hAnsi="Arial" w:cs="Arial"/>
          <w:b/>
          <w:bCs/>
          <w:i/>
          <w:sz w:val="18"/>
          <w:szCs w:val="21"/>
          <w:lang w:val="es-MX" w:eastAsia="es-ES"/>
        </w:rPr>
        <w:t>no identificados y que posteriormente fueron identificados</w:t>
      </w:r>
      <w:r w:rsidRPr="00E93460">
        <w:rPr>
          <w:rFonts w:ascii="Arial" w:eastAsia="Times New Roman" w:hAnsi="Arial" w:cs="Arial"/>
          <w:i/>
          <w:sz w:val="18"/>
          <w:szCs w:val="21"/>
          <w:lang w:val="es-MX" w:eastAsia="es-ES"/>
        </w:rPr>
        <w:t xml:space="preserve"> </w:t>
      </w:r>
      <w:r w:rsidRPr="00C04415">
        <w:rPr>
          <w:rFonts w:ascii="Arial" w:eastAsia="Times New Roman" w:hAnsi="Arial" w:cs="Arial"/>
          <w:i/>
          <w:sz w:val="18"/>
          <w:szCs w:val="21"/>
          <w:lang w:val="es-MX" w:eastAsia="es-ES"/>
        </w:rPr>
        <w:t>por esta autoridad por año, de 2006 al 31 de agosto de 2020.</w:t>
      </w:r>
      <w:bookmarkStart w:id="2" w:name="_GoBack"/>
      <w:bookmarkEnd w:id="2"/>
    </w:p>
    <w:p w14:paraId="36C46E7B" w14:textId="77777777" w:rsidR="008D26AD" w:rsidRPr="00DB534B" w:rsidRDefault="008D26AD" w:rsidP="00C04415">
      <w:pPr>
        <w:ind w:left="567" w:right="567"/>
        <w:contextualSpacing/>
        <w:jc w:val="both"/>
        <w:rPr>
          <w:rFonts w:ascii="Arial" w:eastAsia="Times New Roman" w:hAnsi="Arial" w:cs="Arial"/>
          <w:i/>
          <w:sz w:val="18"/>
          <w:szCs w:val="21"/>
          <w:lang w:val="es-MX" w:eastAsia="es-ES"/>
        </w:rPr>
      </w:pPr>
      <w:r w:rsidRPr="00C04415">
        <w:rPr>
          <w:rFonts w:ascii="Arial" w:eastAsia="Times New Roman" w:hAnsi="Arial" w:cs="Arial"/>
          <w:i/>
          <w:sz w:val="18"/>
          <w:szCs w:val="21"/>
          <w:lang w:val="es-MX" w:eastAsia="es-ES"/>
        </w:rPr>
        <w:t xml:space="preserve">3. El número de cuerpos, cadáveres y osamentas </w:t>
      </w:r>
      <w:r w:rsidRPr="00C04415">
        <w:rPr>
          <w:rFonts w:ascii="Arial" w:eastAsia="Times New Roman" w:hAnsi="Arial" w:cs="Arial"/>
          <w:b/>
          <w:bCs/>
          <w:i/>
          <w:sz w:val="18"/>
          <w:szCs w:val="21"/>
          <w:lang w:val="es-MX" w:eastAsia="es-ES"/>
        </w:rPr>
        <w:t>identificados que</w:t>
      </w:r>
      <w:r w:rsidRPr="00C04415">
        <w:rPr>
          <w:rFonts w:ascii="Arial" w:eastAsia="Times New Roman" w:hAnsi="Arial" w:cs="Arial"/>
          <w:i/>
          <w:sz w:val="18"/>
          <w:szCs w:val="21"/>
          <w:lang w:val="es-MX" w:eastAsia="es-ES"/>
        </w:rPr>
        <w:t xml:space="preserve"> </w:t>
      </w:r>
      <w:r w:rsidRPr="00C04415">
        <w:rPr>
          <w:rFonts w:ascii="Arial" w:eastAsia="Times New Roman" w:hAnsi="Arial" w:cs="Arial"/>
          <w:b/>
          <w:bCs/>
          <w:i/>
          <w:sz w:val="18"/>
          <w:szCs w:val="21"/>
          <w:lang w:val="es-MX" w:eastAsia="es-ES"/>
        </w:rPr>
        <w:t>no</w:t>
      </w:r>
      <w:r w:rsidRPr="008D26AD">
        <w:rPr>
          <w:rFonts w:ascii="Arial" w:eastAsia="Times New Roman" w:hAnsi="Arial" w:cs="Arial"/>
          <w:b/>
          <w:bCs/>
          <w:i/>
          <w:sz w:val="18"/>
          <w:szCs w:val="21"/>
          <w:lang w:val="es-MX" w:eastAsia="es-ES"/>
        </w:rPr>
        <w:t xml:space="preserve"> han sido entregados o reclamados por sus familiares</w:t>
      </w:r>
      <w:r w:rsidRPr="008D26AD">
        <w:rPr>
          <w:rFonts w:ascii="Arial" w:eastAsia="Times New Roman" w:hAnsi="Arial" w:cs="Arial"/>
          <w:i/>
          <w:sz w:val="18"/>
          <w:szCs w:val="21"/>
          <w:lang w:val="es-MX" w:eastAsia="es-ES"/>
        </w:rPr>
        <w:t xml:space="preserve"> por año, de 2006 al 31 de agosto de 2020.</w:t>
      </w:r>
    </w:p>
    <w:p w14:paraId="28CF3AEE" w14:textId="77777777" w:rsidR="008D26AD" w:rsidRPr="00DB534B" w:rsidRDefault="008D26AD" w:rsidP="00C04415">
      <w:pPr>
        <w:ind w:left="567" w:right="567"/>
        <w:contextualSpacing/>
        <w:jc w:val="both"/>
        <w:rPr>
          <w:rFonts w:ascii="Arial" w:eastAsia="Times New Roman" w:hAnsi="Arial" w:cs="Arial"/>
          <w:i/>
          <w:sz w:val="18"/>
          <w:szCs w:val="21"/>
          <w:lang w:val="es-MX" w:eastAsia="es-ES"/>
        </w:rPr>
      </w:pPr>
      <w:r w:rsidRPr="00DB534B">
        <w:rPr>
          <w:rFonts w:ascii="Arial" w:eastAsia="Times New Roman" w:hAnsi="Arial" w:cs="Arial"/>
          <w:i/>
          <w:sz w:val="18"/>
          <w:szCs w:val="21"/>
          <w:lang w:val="es-MX" w:eastAsia="es-ES"/>
        </w:rPr>
        <w:t xml:space="preserve">4. El número de cuerpos, cadáveres y osamentas que </w:t>
      </w:r>
      <w:r w:rsidRPr="00F33694">
        <w:rPr>
          <w:rFonts w:ascii="Arial" w:eastAsia="Times New Roman" w:hAnsi="Arial" w:cs="Arial"/>
          <w:b/>
          <w:bCs/>
          <w:i/>
          <w:sz w:val="18"/>
          <w:szCs w:val="21"/>
          <w:lang w:val="es-MX" w:eastAsia="es-ES"/>
        </w:rPr>
        <w:t>permanecen como no identificados</w:t>
      </w:r>
      <w:r w:rsidRPr="00DB534B">
        <w:rPr>
          <w:rFonts w:ascii="Arial" w:eastAsia="Times New Roman" w:hAnsi="Arial" w:cs="Arial"/>
          <w:i/>
          <w:sz w:val="18"/>
          <w:szCs w:val="21"/>
          <w:lang w:val="es-MX" w:eastAsia="es-ES"/>
        </w:rPr>
        <w:t xml:space="preserve"> y, que, hasta el 31 de agosto de 2020, se encuentran en cada una de las siguientes opciones fosas comunes, servicios médicos forenses o institutos de ciencias forenses, panteones ministeriales, donados a universidades, cremados y de los que se desconoce su ubicación actual.</w:t>
      </w:r>
    </w:p>
    <w:p w14:paraId="3114728F" w14:textId="77777777" w:rsidR="008D26AD" w:rsidRPr="00DB534B" w:rsidRDefault="008D26AD" w:rsidP="00C04415">
      <w:pPr>
        <w:ind w:left="567" w:right="567"/>
        <w:contextualSpacing/>
        <w:jc w:val="both"/>
        <w:rPr>
          <w:rFonts w:ascii="Arial" w:eastAsia="Times New Roman" w:hAnsi="Arial" w:cs="Arial"/>
          <w:i/>
          <w:sz w:val="18"/>
          <w:szCs w:val="21"/>
          <w:lang w:val="es-MX" w:eastAsia="es-ES"/>
        </w:rPr>
      </w:pPr>
      <w:r w:rsidRPr="00DB534B">
        <w:rPr>
          <w:rFonts w:ascii="Arial" w:eastAsia="Times New Roman" w:hAnsi="Arial" w:cs="Arial"/>
          <w:i/>
          <w:sz w:val="18"/>
          <w:szCs w:val="21"/>
          <w:lang w:val="es-MX" w:eastAsia="es-ES"/>
        </w:rPr>
        <w:t xml:space="preserve">5. La </w:t>
      </w:r>
      <w:r w:rsidRPr="00F33694">
        <w:rPr>
          <w:rFonts w:ascii="Arial" w:eastAsia="Times New Roman" w:hAnsi="Arial" w:cs="Arial"/>
          <w:b/>
          <w:bCs/>
          <w:i/>
          <w:sz w:val="18"/>
          <w:szCs w:val="21"/>
          <w:lang w:val="es-MX" w:eastAsia="es-ES"/>
        </w:rPr>
        <w:t>capacidad de almacenaje con que cuentan los Servicios Médicos Forenses</w:t>
      </w:r>
      <w:r w:rsidRPr="00DB534B">
        <w:rPr>
          <w:rFonts w:ascii="Arial" w:eastAsia="Times New Roman" w:hAnsi="Arial" w:cs="Arial"/>
          <w:i/>
          <w:sz w:val="18"/>
          <w:szCs w:val="21"/>
          <w:lang w:val="es-MX" w:eastAsia="es-ES"/>
        </w:rPr>
        <w:t xml:space="preserve"> o Institutos de Ciencias Forenses en toda la entidad federativa para el resguardo de los cuerpos, cadáveres u osamentas ingresados como no identificados.</w:t>
      </w:r>
    </w:p>
    <w:p w14:paraId="787BB754" w14:textId="77777777" w:rsidR="008D26AD" w:rsidRPr="00DB534B" w:rsidRDefault="008D26AD" w:rsidP="00C04415">
      <w:pPr>
        <w:ind w:left="567" w:right="567"/>
        <w:contextualSpacing/>
        <w:jc w:val="both"/>
        <w:rPr>
          <w:rFonts w:ascii="Arial" w:eastAsia="Times New Roman" w:hAnsi="Arial" w:cs="Arial"/>
          <w:i/>
          <w:sz w:val="18"/>
          <w:szCs w:val="21"/>
          <w:lang w:val="es-MX" w:eastAsia="es-ES"/>
        </w:rPr>
      </w:pPr>
      <w:r w:rsidRPr="00DB534B">
        <w:rPr>
          <w:rFonts w:ascii="Arial" w:eastAsia="Times New Roman" w:hAnsi="Arial" w:cs="Arial"/>
          <w:i/>
          <w:sz w:val="18"/>
          <w:szCs w:val="21"/>
          <w:lang w:val="es-MX" w:eastAsia="es-ES"/>
        </w:rPr>
        <w:t xml:space="preserve">6. El número de </w:t>
      </w:r>
      <w:r w:rsidRPr="00F33694">
        <w:rPr>
          <w:rFonts w:ascii="Arial" w:eastAsia="Times New Roman" w:hAnsi="Arial" w:cs="Arial"/>
          <w:b/>
          <w:bCs/>
          <w:i/>
          <w:sz w:val="18"/>
          <w:szCs w:val="21"/>
          <w:lang w:val="es-MX" w:eastAsia="es-ES"/>
        </w:rPr>
        <w:t xml:space="preserve">cuerpos, cadáveres y osamentas </w:t>
      </w:r>
      <w:r w:rsidRPr="00DB534B">
        <w:rPr>
          <w:rFonts w:ascii="Arial" w:eastAsia="Times New Roman" w:hAnsi="Arial" w:cs="Arial"/>
          <w:i/>
          <w:sz w:val="18"/>
          <w:szCs w:val="21"/>
          <w:lang w:val="es-MX" w:eastAsia="es-ES"/>
        </w:rPr>
        <w:t xml:space="preserve">que, del 1 de enero de 2006 y hasta el 31 de agosto de 2020, </w:t>
      </w:r>
      <w:r w:rsidRPr="00F33694">
        <w:rPr>
          <w:rFonts w:ascii="Arial" w:eastAsia="Times New Roman" w:hAnsi="Arial" w:cs="Arial"/>
          <w:b/>
          <w:bCs/>
          <w:i/>
          <w:sz w:val="18"/>
          <w:szCs w:val="21"/>
          <w:lang w:val="es-MX" w:eastAsia="es-ES"/>
        </w:rPr>
        <w:t>tienen pendiente algún peritaje o informe de alguna de las disciplinas</w:t>
      </w:r>
      <w:r w:rsidRPr="00DB534B">
        <w:rPr>
          <w:rFonts w:ascii="Arial" w:eastAsia="Times New Roman" w:hAnsi="Arial" w:cs="Arial"/>
          <w:i/>
          <w:sz w:val="18"/>
          <w:szCs w:val="21"/>
          <w:lang w:val="es-MX" w:eastAsia="es-ES"/>
        </w:rPr>
        <w:t xml:space="preserve"> consideradas para el informe integrado de identificación como refiere el Protocolo para el Tratamiento e Identificación Forense u otros similares que incluyan necropsia médico-legal, antropología forense, odontología forense, dactiloscopía, toma de muestras biológicas para análisis de ADN y archivo básico para todos los cadáveres no identificados o con </w:t>
      </w:r>
      <w:proofErr w:type="spellStart"/>
      <w:r w:rsidRPr="00DB534B">
        <w:rPr>
          <w:rFonts w:ascii="Arial" w:eastAsia="Times New Roman" w:hAnsi="Arial" w:cs="Arial"/>
          <w:i/>
          <w:sz w:val="18"/>
          <w:szCs w:val="21"/>
          <w:lang w:val="es-MX" w:eastAsia="es-ES"/>
        </w:rPr>
        <w:t>hipótesis</w:t>
      </w:r>
      <w:proofErr w:type="spellEnd"/>
      <w:r w:rsidRPr="00DB534B">
        <w:rPr>
          <w:rFonts w:ascii="Arial" w:eastAsia="Times New Roman" w:hAnsi="Arial" w:cs="Arial"/>
          <w:i/>
          <w:sz w:val="18"/>
          <w:szCs w:val="21"/>
          <w:lang w:val="es-MX" w:eastAsia="es-ES"/>
        </w:rPr>
        <w:t xml:space="preserve"> de identificación no confirmada.</w:t>
      </w:r>
    </w:p>
    <w:p w14:paraId="3D351A7C" w14:textId="77777777" w:rsidR="008D26AD" w:rsidRPr="00DB534B" w:rsidRDefault="008D26AD" w:rsidP="00C04415">
      <w:pPr>
        <w:ind w:left="567" w:right="567"/>
        <w:contextualSpacing/>
        <w:jc w:val="both"/>
        <w:rPr>
          <w:rFonts w:ascii="Arial" w:eastAsia="Times New Roman" w:hAnsi="Arial" w:cs="Arial"/>
          <w:i/>
          <w:sz w:val="18"/>
          <w:szCs w:val="21"/>
          <w:lang w:val="es-MX" w:eastAsia="es-ES"/>
        </w:rPr>
      </w:pPr>
      <w:r w:rsidRPr="00DB534B">
        <w:rPr>
          <w:rFonts w:ascii="Arial" w:eastAsia="Times New Roman" w:hAnsi="Arial" w:cs="Arial"/>
          <w:i/>
          <w:sz w:val="18"/>
          <w:szCs w:val="21"/>
          <w:lang w:val="es-MX" w:eastAsia="es-ES"/>
        </w:rPr>
        <w:t xml:space="preserve">7. </w:t>
      </w:r>
      <w:r w:rsidRPr="00F33694">
        <w:rPr>
          <w:rFonts w:ascii="Arial" w:eastAsia="Times New Roman" w:hAnsi="Arial" w:cs="Arial"/>
          <w:b/>
          <w:bCs/>
          <w:i/>
          <w:sz w:val="18"/>
          <w:szCs w:val="21"/>
          <w:lang w:val="es-MX" w:eastAsia="es-ES"/>
        </w:rPr>
        <w:t>El número</w:t>
      </w:r>
      <w:r w:rsidRPr="00DB534B">
        <w:rPr>
          <w:rFonts w:ascii="Arial" w:eastAsia="Times New Roman" w:hAnsi="Arial" w:cs="Arial"/>
          <w:i/>
          <w:sz w:val="18"/>
          <w:szCs w:val="21"/>
          <w:lang w:val="es-MX" w:eastAsia="es-ES"/>
        </w:rPr>
        <w:t xml:space="preserve"> desagregado, según especialidad, </w:t>
      </w:r>
      <w:r w:rsidRPr="00F33694">
        <w:rPr>
          <w:rFonts w:ascii="Arial" w:eastAsia="Times New Roman" w:hAnsi="Arial" w:cs="Arial"/>
          <w:b/>
          <w:bCs/>
          <w:i/>
          <w:sz w:val="18"/>
          <w:szCs w:val="21"/>
          <w:lang w:val="es-MX" w:eastAsia="es-ES"/>
        </w:rPr>
        <w:t>de peritos</w:t>
      </w:r>
      <w:r w:rsidRPr="00DB534B">
        <w:rPr>
          <w:rFonts w:ascii="Arial" w:eastAsia="Times New Roman" w:hAnsi="Arial" w:cs="Arial"/>
          <w:i/>
          <w:sz w:val="18"/>
          <w:szCs w:val="21"/>
          <w:lang w:val="es-MX" w:eastAsia="es-ES"/>
        </w:rPr>
        <w:t xml:space="preserve"> titulados en medicina, antropología física, genética, odontología, criminalística, dactiloscopía, radiología, </w:t>
      </w:r>
      <w:r w:rsidRPr="00F33694">
        <w:rPr>
          <w:rFonts w:ascii="Arial" w:eastAsia="Times New Roman" w:hAnsi="Arial" w:cs="Arial"/>
          <w:b/>
          <w:bCs/>
          <w:i/>
          <w:sz w:val="18"/>
          <w:szCs w:val="21"/>
          <w:lang w:val="es-MX" w:eastAsia="es-ES"/>
        </w:rPr>
        <w:t>con que cuentan en la entidad</w:t>
      </w:r>
      <w:r w:rsidRPr="00DB534B">
        <w:rPr>
          <w:rFonts w:ascii="Arial" w:eastAsia="Times New Roman" w:hAnsi="Arial" w:cs="Arial"/>
          <w:i/>
          <w:sz w:val="18"/>
          <w:szCs w:val="21"/>
          <w:lang w:val="es-MX" w:eastAsia="es-ES"/>
        </w:rPr>
        <w:t xml:space="preserve"> para la realización del Protocolo para el Tratamiento e Identificación Forense u otros similares, al 31 de agosto de 2020.</w:t>
      </w:r>
    </w:p>
    <w:p w14:paraId="3945E263" w14:textId="77777777" w:rsidR="008D26AD" w:rsidRPr="00DB534B" w:rsidRDefault="008D26AD" w:rsidP="00C04415">
      <w:pPr>
        <w:ind w:left="567" w:right="567"/>
        <w:contextualSpacing/>
        <w:jc w:val="both"/>
        <w:rPr>
          <w:rFonts w:ascii="Arial" w:eastAsia="Times New Roman" w:hAnsi="Arial" w:cs="Arial"/>
          <w:i/>
          <w:sz w:val="18"/>
          <w:szCs w:val="21"/>
          <w:lang w:val="es-MX" w:eastAsia="es-ES"/>
        </w:rPr>
      </w:pPr>
      <w:r w:rsidRPr="008D26AD">
        <w:rPr>
          <w:rFonts w:ascii="Arial" w:eastAsia="Times New Roman" w:hAnsi="Arial" w:cs="Arial"/>
          <w:i/>
          <w:sz w:val="18"/>
          <w:szCs w:val="21"/>
          <w:lang w:val="es-MX" w:eastAsia="es-ES"/>
        </w:rPr>
        <w:t xml:space="preserve">8. </w:t>
      </w:r>
      <w:r w:rsidRPr="008D26AD">
        <w:rPr>
          <w:rFonts w:ascii="Arial" w:eastAsia="Times New Roman" w:hAnsi="Arial" w:cs="Arial"/>
          <w:b/>
          <w:bCs/>
          <w:i/>
          <w:sz w:val="18"/>
          <w:szCs w:val="21"/>
          <w:lang w:val="es-MX" w:eastAsia="es-ES"/>
        </w:rPr>
        <w:t>El número de cuerpos, cadáveres y osamentas cuyos registros se han incorporado a la base de datos AM/PM</w:t>
      </w:r>
      <w:r w:rsidRPr="00F33694">
        <w:rPr>
          <w:rFonts w:ascii="Arial" w:eastAsia="Times New Roman" w:hAnsi="Arial" w:cs="Arial"/>
          <w:b/>
          <w:bCs/>
          <w:i/>
          <w:sz w:val="18"/>
          <w:szCs w:val="21"/>
          <w:u w:val="single"/>
          <w:lang w:val="es-MX" w:eastAsia="es-ES"/>
        </w:rPr>
        <w:t xml:space="preserve"> </w:t>
      </w:r>
      <w:r w:rsidRPr="00DB534B">
        <w:rPr>
          <w:rFonts w:ascii="Arial" w:eastAsia="Times New Roman" w:hAnsi="Arial" w:cs="Arial"/>
          <w:i/>
          <w:sz w:val="18"/>
          <w:szCs w:val="21"/>
          <w:lang w:val="es-MX" w:eastAsia="es-ES"/>
        </w:rPr>
        <w:t>hasta el 31 de agosto de 2020.</w:t>
      </w:r>
    </w:p>
    <w:p w14:paraId="490AB38D" w14:textId="77777777" w:rsidR="008D26AD" w:rsidRPr="00DB534B" w:rsidRDefault="008D26AD" w:rsidP="00C04415">
      <w:pPr>
        <w:ind w:left="567" w:right="567"/>
        <w:contextualSpacing/>
        <w:jc w:val="both"/>
        <w:rPr>
          <w:rFonts w:ascii="Arial" w:eastAsia="Times New Roman" w:hAnsi="Arial" w:cs="Arial"/>
          <w:i/>
          <w:sz w:val="18"/>
          <w:szCs w:val="21"/>
          <w:lang w:val="es-MX" w:eastAsia="es-ES"/>
        </w:rPr>
      </w:pPr>
      <w:r w:rsidRPr="00DB534B">
        <w:rPr>
          <w:rFonts w:ascii="Arial" w:eastAsia="Times New Roman" w:hAnsi="Arial" w:cs="Arial"/>
          <w:i/>
          <w:sz w:val="18"/>
          <w:szCs w:val="21"/>
          <w:lang w:val="es-MX" w:eastAsia="es-ES"/>
        </w:rPr>
        <w:t xml:space="preserve">9. El </w:t>
      </w:r>
      <w:r w:rsidRPr="00F33694">
        <w:rPr>
          <w:rFonts w:ascii="Arial" w:eastAsia="Times New Roman" w:hAnsi="Arial" w:cs="Arial"/>
          <w:b/>
          <w:bCs/>
          <w:i/>
          <w:sz w:val="18"/>
          <w:szCs w:val="21"/>
          <w:lang w:val="es-MX" w:eastAsia="es-ES"/>
        </w:rPr>
        <w:t>número de identificaciones positivas obtenidas mediante el análisis genético</w:t>
      </w:r>
      <w:r w:rsidRPr="00DB534B">
        <w:rPr>
          <w:rFonts w:ascii="Arial" w:eastAsia="Times New Roman" w:hAnsi="Arial" w:cs="Arial"/>
          <w:i/>
          <w:sz w:val="18"/>
          <w:szCs w:val="21"/>
          <w:lang w:val="es-MX" w:eastAsia="es-ES"/>
        </w:rPr>
        <w:t xml:space="preserve"> </w:t>
      </w:r>
      <w:r w:rsidRPr="00F33694">
        <w:rPr>
          <w:rFonts w:ascii="Arial" w:eastAsia="Times New Roman" w:hAnsi="Arial" w:cs="Arial"/>
          <w:b/>
          <w:bCs/>
          <w:i/>
          <w:sz w:val="18"/>
          <w:szCs w:val="21"/>
          <w:lang w:val="es-MX" w:eastAsia="es-ES"/>
        </w:rPr>
        <w:t xml:space="preserve">de muestras biológicas </w:t>
      </w:r>
      <w:r w:rsidRPr="00DB534B">
        <w:rPr>
          <w:rFonts w:ascii="Arial" w:eastAsia="Times New Roman" w:hAnsi="Arial" w:cs="Arial"/>
          <w:i/>
          <w:sz w:val="18"/>
          <w:szCs w:val="21"/>
          <w:lang w:val="es-MX" w:eastAsia="es-ES"/>
        </w:rPr>
        <w:t>obtenidas de los cuerpos, cadáveres y osamentas que ingresaron como no identificados, entre el 1 de enero de 20006 y el 31 de agosto de 2020.</w:t>
      </w:r>
    </w:p>
    <w:p w14:paraId="3A96FBEB" w14:textId="77777777" w:rsidR="008D26AD" w:rsidRPr="00DB534B" w:rsidRDefault="008D26AD" w:rsidP="00C04415">
      <w:pPr>
        <w:ind w:left="567" w:right="567"/>
        <w:contextualSpacing/>
        <w:jc w:val="both"/>
        <w:rPr>
          <w:rFonts w:ascii="Arial" w:eastAsia="Times New Roman" w:hAnsi="Arial" w:cs="Arial"/>
          <w:i/>
          <w:sz w:val="18"/>
          <w:szCs w:val="21"/>
          <w:lang w:val="es-MX" w:eastAsia="es-ES"/>
        </w:rPr>
      </w:pPr>
      <w:r w:rsidRPr="00DB534B">
        <w:rPr>
          <w:rFonts w:ascii="Arial" w:eastAsia="Times New Roman" w:hAnsi="Arial" w:cs="Arial"/>
          <w:i/>
          <w:sz w:val="18"/>
          <w:szCs w:val="21"/>
          <w:lang w:val="es-MX" w:eastAsia="es-ES"/>
        </w:rPr>
        <w:t xml:space="preserve">10. El número de </w:t>
      </w:r>
      <w:r w:rsidRPr="00F33694">
        <w:rPr>
          <w:rFonts w:ascii="Arial" w:eastAsia="Times New Roman" w:hAnsi="Arial" w:cs="Arial"/>
          <w:b/>
          <w:bCs/>
          <w:i/>
          <w:sz w:val="18"/>
          <w:szCs w:val="21"/>
          <w:lang w:val="es-MX" w:eastAsia="es-ES"/>
        </w:rPr>
        <w:t>cuerpos, cadáveres y osamentas</w:t>
      </w:r>
      <w:r w:rsidRPr="00DB534B">
        <w:rPr>
          <w:rFonts w:ascii="Arial" w:eastAsia="Times New Roman" w:hAnsi="Arial" w:cs="Arial"/>
          <w:i/>
          <w:sz w:val="18"/>
          <w:szCs w:val="21"/>
          <w:lang w:val="es-MX" w:eastAsia="es-ES"/>
        </w:rPr>
        <w:t xml:space="preserve">, del 1 de enero de 2006 y hasta el 31 de agosto de 2020, </w:t>
      </w:r>
      <w:r w:rsidRPr="00F33694">
        <w:rPr>
          <w:rFonts w:ascii="Arial" w:eastAsia="Times New Roman" w:hAnsi="Arial" w:cs="Arial"/>
          <w:b/>
          <w:bCs/>
          <w:i/>
          <w:sz w:val="18"/>
          <w:szCs w:val="21"/>
          <w:lang w:val="es-MX" w:eastAsia="es-ES"/>
        </w:rPr>
        <w:t>cuya identidad fue rectificada o corregida luego de un análisis erróneo</w:t>
      </w:r>
      <w:r w:rsidRPr="00DB534B">
        <w:rPr>
          <w:rFonts w:ascii="Arial" w:eastAsia="Times New Roman" w:hAnsi="Arial" w:cs="Arial"/>
          <w:i/>
          <w:sz w:val="18"/>
          <w:szCs w:val="21"/>
          <w:lang w:val="es-MX" w:eastAsia="es-ES"/>
        </w:rPr>
        <w:t>.</w:t>
      </w:r>
    </w:p>
    <w:p w14:paraId="4D4B3C17" w14:textId="77777777" w:rsidR="008D26AD" w:rsidRDefault="008D26AD" w:rsidP="00C04415">
      <w:pPr>
        <w:ind w:left="567" w:right="567"/>
        <w:contextualSpacing/>
        <w:jc w:val="both"/>
        <w:rPr>
          <w:rFonts w:ascii="Arial" w:eastAsia="Times New Roman" w:hAnsi="Arial" w:cs="Arial"/>
          <w:i/>
          <w:sz w:val="18"/>
          <w:szCs w:val="21"/>
          <w:lang w:val="es-MX" w:eastAsia="es-ES"/>
        </w:rPr>
      </w:pPr>
    </w:p>
    <w:p w14:paraId="5A4D1067" w14:textId="77777777" w:rsidR="008D26AD" w:rsidRPr="00DB534B" w:rsidRDefault="008D26AD" w:rsidP="00C04415">
      <w:pPr>
        <w:ind w:left="567" w:right="567"/>
        <w:contextualSpacing/>
        <w:jc w:val="both"/>
        <w:rPr>
          <w:rFonts w:ascii="Arial" w:eastAsia="Times New Roman" w:hAnsi="Arial" w:cs="Arial"/>
          <w:i/>
          <w:sz w:val="18"/>
          <w:szCs w:val="21"/>
          <w:lang w:val="es-MX" w:eastAsia="es-ES"/>
        </w:rPr>
      </w:pPr>
      <w:r w:rsidRPr="00DB534B">
        <w:rPr>
          <w:rFonts w:ascii="Arial" w:eastAsia="Times New Roman" w:hAnsi="Arial" w:cs="Arial"/>
          <w:i/>
          <w:sz w:val="18"/>
          <w:szCs w:val="21"/>
          <w:lang w:val="es-MX" w:eastAsia="es-ES"/>
        </w:rPr>
        <w:t xml:space="preserve">Solicito que, en caso de que esta información exista, cada uno de los incisos numerados, corresponda a una tabla en formato .xlsx (Excel) o .docx (Word), o cualquier otro formato de </w:t>
      </w:r>
      <w:r w:rsidRPr="00F33694">
        <w:rPr>
          <w:rFonts w:ascii="Arial" w:eastAsia="Times New Roman" w:hAnsi="Arial" w:cs="Arial"/>
          <w:b/>
          <w:bCs/>
          <w:i/>
          <w:sz w:val="18"/>
          <w:szCs w:val="21"/>
          <w:lang w:val="es-MX" w:eastAsia="es-ES"/>
        </w:rPr>
        <w:t>datos abierto</w:t>
      </w:r>
      <w:r w:rsidRPr="00DB534B">
        <w:rPr>
          <w:rFonts w:ascii="Arial" w:eastAsia="Times New Roman" w:hAnsi="Arial" w:cs="Arial"/>
          <w:i/>
          <w:sz w:val="18"/>
          <w:szCs w:val="21"/>
          <w:lang w:val="es-MX" w:eastAsia="es-ES"/>
        </w:rPr>
        <w:t xml:space="preserve">s. </w:t>
      </w:r>
    </w:p>
    <w:p w14:paraId="597B1549" w14:textId="77777777" w:rsidR="008D26AD" w:rsidRPr="009B7E1C" w:rsidRDefault="008D26AD" w:rsidP="00C04415">
      <w:pPr>
        <w:ind w:left="567" w:right="567"/>
        <w:contextualSpacing/>
        <w:jc w:val="both"/>
        <w:rPr>
          <w:rFonts w:ascii="Arial" w:eastAsia="Times New Roman" w:hAnsi="Arial" w:cs="Arial"/>
          <w:i/>
          <w:sz w:val="18"/>
          <w:szCs w:val="21"/>
          <w:lang w:val="es-MX" w:eastAsia="es-ES"/>
        </w:rPr>
      </w:pPr>
      <w:r w:rsidRPr="00DB534B">
        <w:rPr>
          <w:rFonts w:ascii="Arial" w:eastAsia="Times New Roman" w:hAnsi="Arial" w:cs="Arial"/>
          <w:i/>
          <w:sz w:val="18"/>
          <w:szCs w:val="21"/>
          <w:lang w:val="es-MX" w:eastAsia="es-ES"/>
        </w:rPr>
        <w:lastRenderedPageBreak/>
        <w:t>Solicito que, en caso de que esta información exista en formato .xlsx (Excel) o .docx (Word), o cualquier otro formato de datos abiertos, sea remitido en dicho formato, conforme a los artículos 61, 130 y 132 de la Ley General de Transparencia y Acceso a la Información Pública vigente.</w:t>
      </w:r>
      <w:r w:rsidRPr="009B7E1C">
        <w:rPr>
          <w:rFonts w:ascii="Arial" w:eastAsia="Times New Roman" w:hAnsi="Arial" w:cs="Arial"/>
          <w:i/>
          <w:sz w:val="18"/>
          <w:szCs w:val="21"/>
          <w:lang w:val="es-MX" w:eastAsia="es-ES"/>
        </w:rPr>
        <w:t>”</w:t>
      </w:r>
      <w:r w:rsidRPr="009B7E1C">
        <w:rPr>
          <w:rFonts w:ascii="Arial" w:eastAsia="Times New Roman" w:hAnsi="Arial" w:cs="Arial"/>
          <w:iCs/>
          <w:sz w:val="18"/>
          <w:szCs w:val="21"/>
          <w:lang w:val="es-MX" w:eastAsia="es-ES"/>
        </w:rPr>
        <w:t xml:space="preserve"> (Sic)</w:t>
      </w:r>
    </w:p>
    <w:bookmarkEnd w:id="0"/>
    <w:p w14:paraId="35414FC2" w14:textId="77777777" w:rsidR="00A6203E" w:rsidRDefault="00A6203E" w:rsidP="00C04415">
      <w:pPr>
        <w:ind w:left="567" w:right="567"/>
        <w:contextualSpacing/>
        <w:jc w:val="both"/>
        <w:rPr>
          <w:rFonts w:ascii="Arial" w:eastAsia="Times New Roman" w:hAnsi="Arial" w:cs="Arial"/>
          <w:i/>
          <w:sz w:val="18"/>
          <w:szCs w:val="21"/>
          <w:lang w:val="es-MX" w:eastAsia="es-ES"/>
        </w:rPr>
      </w:pPr>
    </w:p>
    <w:p w14:paraId="5769B288" w14:textId="4138218C" w:rsidR="009F7D82" w:rsidRDefault="009F7D82" w:rsidP="00C04415">
      <w:pPr>
        <w:pStyle w:val="Textoindependiente"/>
        <w:rPr>
          <w:rFonts w:ascii="Arial" w:hAnsi="Arial" w:cs="Arial"/>
          <w:b w:val="0"/>
          <w:bCs/>
          <w:sz w:val="21"/>
          <w:szCs w:val="21"/>
          <w:lang w:val="es-MX"/>
        </w:rPr>
      </w:pPr>
      <w:bookmarkStart w:id="3" w:name="_Hlk53500908"/>
      <w:bookmarkEnd w:id="1"/>
      <w:r w:rsidRPr="00571AE1">
        <w:rPr>
          <w:rFonts w:ascii="Arial" w:hAnsi="Arial" w:cs="Arial"/>
          <w:b w:val="0"/>
          <w:sz w:val="21"/>
          <w:szCs w:val="21"/>
          <w:lang w:val="es-MX"/>
        </w:rPr>
        <w:t xml:space="preserve">Se hace de su conocimiento que en cumplimiento a lo dispuesto por el artículo 133 de la </w:t>
      </w:r>
      <w:r w:rsidRPr="000B4C7C">
        <w:rPr>
          <w:rFonts w:ascii="Arial" w:hAnsi="Arial" w:cs="Arial"/>
          <w:bCs/>
          <w:sz w:val="21"/>
          <w:szCs w:val="21"/>
          <w:lang w:val="es-MX"/>
        </w:rPr>
        <w:t>LFTAIP</w:t>
      </w:r>
      <w:r w:rsidRPr="00571AE1">
        <w:rPr>
          <w:rFonts w:ascii="Arial" w:hAnsi="Arial" w:cs="Arial"/>
          <w:b w:val="0"/>
          <w:sz w:val="21"/>
          <w:szCs w:val="21"/>
          <w:lang w:val="es-MX"/>
        </w:rPr>
        <w:t>, su solicitud fue turnada para su atención</w:t>
      </w:r>
      <w:r>
        <w:rPr>
          <w:rFonts w:ascii="Arial" w:hAnsi="Arial" w:cs="Arial"/>
          <w:b w:val="0"/>
          <w:sz w:val="21"/>
          <w:szCs w:val="21"/>
          <w:lang w:val="es-MX"/>
        </w:rPr>
        <w:t xml:space="preserve"> a la unidad administrativa </w:t>
      </w:r>
      <w:r w:rsidR="006C7B4D">
        <w:rPr>
          <w:rFonts w:ascii="Arial" w:hAnsi="Arial" w:cs="Arial"/>
          <w:b w:val="0"/>
          <w:sz w:val="21"/>
          <w:szCs w:val="21"/>
          <w:lang w:val="es-MX"/>
        </w:rPr>
        <w:t>correspondiente, la cual, p</w:t>
      </w:r>
      <w:r>
        <w:rPr>
          <w:rFonts w:ascii="Arial" w:hAnsi="Arial" w:cs="Arial"/>
          <w:b w:val="0"/>
          <w:bCs/>
          <w:sz w:val="21"/>
          <w:szCs w:val="21"/>
          <w:lang w:val="es-MX"/>
        </w:rPr>
        <w:t xml:space="preserve">or lo que hace al </w:t>
      </w:r>
      <w:r w:rsidRPr="009F7D82">
        <w:rPr>
          <w:rFonts w:ascii="Arial" w:hAnsi="Arial" w:cs="Arial"/>
          <w:sz w:val="21"/>
          <w:szCs w:val="21"/>
          <w:lang w:val="es-MX"/>
        </w:rPr>
        <w:t>punto 1</w:t>
      </w:r>
      <w:r>
        <w:rPr>
          <w:rFonts w:ascii="Arial" w:hAnsi="Arial" w:cs="Arial"/>
          <w:b w:val="0"/>
          <w:bCs/>
          <w:sz w:val="21"/>
          <w:szCs w:val="21"/>
          <w:lang w:val="es-MX"/>
        </w:rPr>
        <w:t xml:space="preserve">, informa que la </w:t>
      </w:r>
      <w:r w:rsidR="00D83463">
        <w:rPr>
          <w:rFonts w:ascii="Arial" w:hAnsi="Arial" w:cs="Arial"/>
          <w:b w:val="0"/>
          <w:bCs/>
          <w:sz w:val="21"/>
          <w:szCs w:val="21"/>
          <w:lang w:val="es-MX"/>
        </w:rPr>
        <w:t>Coordinación</w:t>
      </w:r>
      <w:r>
        <w:rPr>
          <w:rFonts w:ascii="Arial" w:hAnsi="Arial" w:cs="Arial"/>
          <w:b w:val="0"/>
          <w:bCs/>
          <w:sz w:val="21"/>
          <w:szCs w:val="21"/>
          <w:lang w:val="es-MX"/>
        </w:rPr>
        <w:t xml:space="preserve"> General de Servicios Periciales</w:t>
      </w:r>
      <w:r w:rsidR="00F020B4">
        <w:rPr>
          <w:rFonts w:ascii="Arial" w:hAnsi="Arial" w:cs="Arial"/>
          <w:b w:val="0"/>
          <w:bCs/>
          <w:sz w:val="21"/>
          <w:szCs w:val="21"/>
          <w:lang w:val="es-MX"/>
        </w:rPr>
        <w:t xml:space="preserve"> (</w:t>
      </w:r>
      <w:r w:rsidR="00F020B4" w:rsidRPr="00F020B4">
        <w:rPr>
          <w:rFonts w:ascii="Arial" w:hAnsi="Arial" w:cs="Arial"/>
          <w:sz w:val="21"/>
          <w:szCs w:val="21"/>
          <w:lang w:val="es-MX"/>
        </w:rPr>
        <w:t>CGSP</w:t>
      </w:r>
      <w:r w:rsidR="00F020B4">
        <w:rPr>
          <w:rFonts w:ascii="Arial" w:hAnsi="Arial" w:cs="Arial"/>
          <w:b w:val="0"/>
          <w:bCs/>
          <w:sz w:val="21"/>
          <w:szCs w:val="21"/>
          <w:lang w:val="es-MX"/>
        </w:rPr>
        <w:t>)</w:t>
      </w:r>
      <w:r>
        <w:rPr>
          <w:rFonts w:ascii="Arial" w:hAnsi="Arial" w:cs="Arial"/>
          <w:b w:val="0"/>
          <w:bCs/>
          <w:sz w:val="21"/>
          <w:szCs w:val="21"/>
          <w:lang w:val="es-MX"/>
        </w:rPr>
        <w:t xml:space="preserve"> de esta </w:t>
      </w:r>
      <w:r w:rsidRPr="00D83463">
        <w:rPr>
          <w:rFonts w:ascii="Arial" w:hAnsi="Arial" w:cs="Arial"/>
          <w:sz w:val="21"/>
          <w:szCs w:val="21"/>
          <w:lang w:val="es-MX"/>
        </w:rPr>
        <w:t>FGR</w:t>
      </w:r>
      <w:r>
        <w:rPr>
          <w:rFonts w:ascii="Arial" w:hAnsi="Arial" w:cs="Arial"/>
          <w:b w:val="0"/>
          <w:bCs/>
          <w:sz w:val="21"/>
          <w:szCs w:val="21"/>
          <w:lang w:val="es-MX"/>
        </w:rPr>
        <w:t xml:space="preserve">, cuenta con un </w:t>
      </w:r>
      <w:r w:rsidR="006C7B4D">
        <w:rPr>
          <w:rFonts w:ascii="Arial" w:hAnsi="Arial" w:cs="Arial"/>
          <w:b w:val="0"/>
          <w:bCs/>
          <w:sz w:val="21"/>
          <w:szCs w:val="21"/>
          <w:lang w:val="es-MX"/>
        </w:rPr>
        <w:t>ú</w:t>
      </w:r>
      <w:r>
        <w:rPr>
          <w:rFonts w:ascii="Arial" w:hAnsi="Arial" w:cs="Arial"/>
          <w:b w:val="0"/>
          <w:bCs/>
          <w:sz w:val="21"/>
          <w:szCs w:val="21"/>
          <w:lang w:val="es-MX"/>
        </w:rPr>
        <w:t xml:space="preserve">nico Centro </w:t>
      </w:r>
      <w:r w:rsidR="006C7B4D">
        <w:rPr>
          <w:rFonts w:ascii="Arial" w:hAnsi="Arial" w:cs="Arial"/>
          <w:b w:val="0"/>
          <w:bCs/>
          <w:sz w:val="21"/>
          <w:szCs w:val="21"/>
          <w:lang w:val="es-MX"/>
        </w:rPr>
        <w:t xml:space="preserve">Médico </w:t>
      </w:r>
      <w:r>
        <w:rPr>
          <w:rFonts w:ascii="Arial" w:hAnsi="Arial" w:cs="Arial"/>
          <w:b w:val="0"/>
          <w:bCs/>
          <w:sz w:val="21"/>
          <w:szCs w:val="21"/>
          <w:lang w:val="es-MX"/>
        </w:rPr>
        <w:t>Forense Federal (</w:t>
      </w:r>
      <w:r w:rsidRPr="00D83463">
        <w:rPr>
          <w:rFonts w:ascii="Arial" w:hAnsi="Arial" w:cs="Arial"/>
          <w:sz w:val="21"/>
          <w:szCs w:val="21"/>
          <w:lang w:val="es-MX"/>
        </w:rPr>
        <w:t>CEMEFOFE</w:t>
      </w:r>
      <w:r>
        <w:rPr>
          <w:rFonts w:ascii="Arial" w:hAnsi="Arial" w:cs="Arial"/>
          <w:b w:val="0"/>
          <w:bCs/>
          <w:sz w:val="21"/>
          <w:szCs w:val="21"/>
          <w:lang w:val="es-MX"/>
        </w:rPr>
        <w:t>), mismo que se creó y e</w:t>
      </w:r>
      <w:r w:rsidR="00D83463">
        <w:rPr>
          <w:rFonts w:ascii="Arial" w:hAnsi="Arial" w:cs="Arial"/>
          <w:b w:val="0"/>
          <w:bCs/>
          <w:sz w:val="21"/>
          <w:szCs w:val="21"/>
          <w:lang w:val="es-MX"/>
        </w:rPr>
        <w:t>n</w:t>
      </w:r>
      <w:r>
        <w:rPr>
          <w:rFonts w:ascii="Arial" w:hAnsi="Arial" w:cs="Arial"/>
          <w:b w:val="0"/>
          <w:bCs/>
          <w:sz w:val="21"/>
          <w:szCs w:val="21"/>
          <w:lang w:val="es-MX"/>
        </w:rPr>
        <w:t>tr</w:t>
      </w:r>
      <w:r w:rsidR="00D83463">
        <w:rPr>
          <w:rFonts w:ascii="Arial" w:hAnsi="Arial" w:cs="Arial"/>
          <w:b w:val="0"/>
          <w:bCs/>
          <w:sz w:val="21"/>
          <w:szCs w:val="21"/>
          <w:lang w:val="es-MX"/>
        </w:rPr>
        <w:t>ó</w:t>
      </w:r>
      <w:r>
        <w:rPr>
          <w:rFonts w:ascii="Arial" w:hAnsi="Arial" w:cs="Arial"/>
          <w:b w:val="0"/>
          <w:bCs/>
          <w:sz w:val="21"/>
          <w:szCs w:val="21"/>
          <w:lang w:val="es-MX"/>
        </w:rPr>
        <w:t xml:space="preserve"> en funciones el mes de noviembre de 2012</w:t>
      </w:r>
      <w:r w:rsidR="006C7B4D">
        <w:rPr>
          <w:rFonts w:ascii="Arial" w:hAnsi="Arial" w:cs="Arial"/>
          <w:b w:val="0"/>
          <w:bCs/>
          <w:sz w:val="21"/>
          <w:szCs w:val="21"/>
          <w:lang w:val="es-MX"/>
        </w:rPr>
        <w:t>;</w:t>
      </w:r>
      <w:r>
        <w:rPr>
          <w:rFonts w:ascii="Arial" w:hAnsi="Arial" w:cs="Arial"/>
          <w:b w:val="0"/>
          <w:bCs/>
          <w:sz w:val="21"/>
          <w:szCs w:val="21"/>
          <w:lang w:val="es-MX"/>
        </w:rPr>
        <w:t xml:space="preserve"> sin embargo, </w:t>
      </w:r>
      <w:r w:rsidR="006C7B4D">
        <w:rPr>
          <w:rFonts w:ascii="Arial" w:hAnsi="Arial" w:cs="Arial"/>
          <w:b w:val="0"/>
          <w:bCs/>
          <w:sz w:val="21"/>
          <w:szCs w:val="21"/>
          <w:lang w:val="es-MX"/>
        </w:rPr>
        <w:t xml:space="preserve">fue </w:t>
      </w:r>
      <w:r>
        <w:rPr>
          <w:rFonts w:ascii="Arial" w:hAnsi="Arial" w:cs="Arial"/>
          <w:b w:val="0"/>
          <w:bCs/>
          <w:sz w:val="21"/>
          <w:szCs w:val="21"/>
          <w:lang w:val="es-MX"/>
        </w:rPr>
        <w:t xml:space="preserve">hasta el año 2013 </w:t>
      </w:r>
      <w:r w:rsidR="006C7B4D">
        <w:rPr>
          <w:rFonts w:ascii="Arial" w:hAnsi="Arial" w:cs="Arial"/>
          <w:b w:val="0"/>
          <w:bCs/>
          <w:sz w:val="21"/>
          <w:szCs w:val="21"/>
          <w:lang w:val="es-MX"/>
        </w:rPr>
        <w:t xml:space="preserve">que </w:t>
      </w:r>
      <w:r>
        <w:rPr>
          <w:rFonts w:ascii="Arial" w:hAnsi="Arial" w:cs="Arial"/>
          <w:b w:val="0"/>
          <w:bCs/>
          <w:sz w:val="21"/>
          <w:szCs w:val="21"/>
          <w:lang w:val="es-MX"/>
        </w:rPr>
        <w:t xml:space="preserve">comenzaron a ingresar cadáveres, segmentos y restos óseos para su </w:t>
      </w:r>
      <w:r w:rsidR="00D83463">
        <w:rPr>
          <w:rFonts w:ascii="Arial" w:hAnsi="Arial" w:cs="Arial"/>
          <w:b w:val="0"/>
          <w:bCs/>
          <w:sz w:val="21"/>
          <w:szCs w:val="21"/>
          <w:lang w:val="es-MX"/>
        </w:rPr>
        <w:t>correspondiente análisis forense, encontrándose bajo resguardo 218 cadáveres, los cuales ingresaron de la siguiente manera:</w:t>
      </w:r>
    </w:p>
    <w:p w14:paraId="0132CB27" w14:textId="77777777" w:rsidR="00C04415" w:rsidRDefault="00C04415" w:rsidP="00C04415">
      <w:pPr>
        <w:pStyle w:val="Textoindependiente"/>
        <w:rPr>
          <w:rFonts w:ascii="Arial" w:hAnsi="Arial" w:cs="Arial"/>
          <w:b w:val="0"/>
          <w:bCs/>
          <w:sz w:val="21"/>
          <w:szCs w:val="21"/>
          <w:lang w:val="es-MX"/>
        </w:rPr>
      </w:pPr>
    </w:p>
    <w:tbl>
      <w:tblPr>
        <w:tblStyle w:val="Tablaconcuadrcula"/>
        <w:tblW w:w="0" w:type="auto"/>
        <w:jc w:val="center"/>
        <w:tblLook w:val="04A0" w:firstRow="1" w:lastRow="0" w:firstColumn="1" w:lastColumn="0" w:noHBand="0" w:noVBand="1"/>
      </w:tblPr>
      <w:tblGrid>
        <w:gridCol w:w="1998"/>
        <w:gridCol w:w="2250"/>
      </w:tblGrid>
      <w:tr w:rsidR="00C04415" w:rsidRPr="00C04415" w14:paraId="282A8E26" w14:textId="77777777" w:rsidTr="00C04415">
        <w:trPr>
          <w:jc w:val="center"/>
        </w:trPr>
        <w:tc>
          <w:tcPr>
            <w:tcW w:w="1998" w:type="dxa"/>
            <w:shd w:val="pct25" w:color="auto" w:fill="auto"/>
          </w:tcPr>
          <w:p w14:paraId="251DD3F9" w14:textId="77777777" w:rsidR="00C04415" w:rsidRDefault="00C04415" w:rsidP="00C04415">
            <w:pPr>
              <w:pStyle w:val="Textoindependiente"/>
              <w:contextualSpacing/>
              <w:jc w:val="center"/>
              <w:rPr>
                <w:rFonts w:ascii="Arial" w:hAnsi="Arial" w:cs="Arial"/>
                <w:sz w:val="18"/>
                <w:szCs w:val="18"/>
                <w:lang w:val="es-MX"/>
              </w:rPr>
            </w:pPr>
          </w:p>
          <w:p w14:paraId="5119D828" w14:textId="72D3096F" w:rsidR="00C04415" w:rsidRPr="00C04415" w:rsidRDefault="00C04415" w:rsidP="00C04415">
            <w:pPr>
              <w:pStyle w:val="Textoindependiente"/>
              <w:contextualSpacing/>
              <w:jc w:val="center"/>
              <w:rPr>
                <w:rFonts w:ascii="Arial" w:hAnsi="Arial" w:cs="Arial"/>
                <w:sz w:val="18"/>
                <w:szCs w:val="18"/>
                <w:lang w:val="es-MX"/>
              </w:rPr>
            </w:pPr>
            <w:r w:rsidRPr="00C04415">
              <w:rPr>
                <w:rFonts w:ascii="Arial" w:hAnsi="Arial" w:cs="Arial"/>
                <w:sz w:val="18"/>
                <w:szCs w:val="18"/>
                <w:lang w:val="es-MX"/>
              </w:rPr>
              <w:t>AÑO DE HALLAZGO</w:t>
            </w:r>
          </w:p>
        </w:tc>
        <w:tc>
          <w:tcPr>
            <w:tcW w:w="2250" w:type="dxa"/>
            <w:shd w:val="pct25" w:color="auto" w:fill="auto"/>
          </w:tcPr>
          <w:p w14:paraId="678659A9" w14:textId="2D38822D" w:rsidR="00C04415" w:rsidRPr="00C04415" w:rsidRDefault="00C04415" w:rsidP="00C04415">
            <w:pPr>
              <w:pStyle w:val="Textoindependiente"/>
              <w:contextualSpacing/>
              <w:jc w:val="center"/>
              <w:rPr>
                <w:rFonts w:ascii="Arial" w:hAnsi="Arial" w:cs="Arial"/>
                <w:sz w:val="18"/>
                <w:szCs w:val="18"/>
                <w:lang w:val="es-MX"/>
              </w:rPr>
            </w:pPr>
            <w:r w:rsidRPr="00C04415">
              <w:rPr>
                <w:rFonts w:ascii="Arial" w:hAnsi="Arial" w:cs="Arial"/>
                <w:sz w:val="18"/>
                <w:szCs w:val="18"/>
                <w:lang w:val="es-MX"/>
              </w:rPr>
              <w:t>N</w:t>
            </w:r>
            <w:r w:rsidR="006C7B4D">
              <w:rPr>
                <w:rFonts w:ascii="Arial" w:hAnsi="Arial" w:cs="Arial"/>
                <w:sz w:val="18"/>
                <w:szCs w:val="18"/>
                <w:lang w:val="es-MX"/>
              </w:rPr>
              <w:t>Ú</w:t>
            </w:r>
            <w:r w:rsidRPr="00C04415">
              <w:rPr>
                <w:rFonts w:ascii="Arial" w:hAnsi="Arial" w:cs="Arial"/>
                <w:sz w:val="18"/>
                <w:szCs w:val="18"/>
                <w:lang w:val="es-MX"/>
              </w:rPr>
              <w:t>MERO DE CADAVERES</w:t>
            </w:r>
          </w:p>
        </w:tc>
      </w:tr>
      <w:tr w:rsidR="00C04415" w:rsidRPr="00C04415" w14:paraId="089A7704" w14:textId="77777777" w:rsidTr="00C04415">
        <w:trPr>
          <w:jc w:val="center"/>
        </w:trPr>
        <w:tc>
          <w:tcPr>
            <w:tcW w:w="1998" w:type="dxa"/>
          </w:tcPr>
          <w:p w14:paraId="039C14E9" w14:textId="4AFCEBA2" w:rsidR="00C04415" w:rsidRPr="00C04415" w:rsidRDefault="00C04415" w:rsidP="00C04415">
            <w:pPr>
              <w:pStyle w:val="TableParagraph"/>
              <w:ind w:left="309"/>
              <w:jc w:val="left"/>
              <w:rPr>
                <w:sz w:val="18"/>
                <w:szCs w:val="18"/>
              </w:rPr>
            </w:pPr>
            <w:r>
              <w:rPr>
                <w:color w:val="2F2F2F"/>
                <w:sz w:val="18"/>
                <w:szCs w:val="18"/>
              </w:rPr>
              <w:t xml:space="preserve">        </w:t>
            </w:r>
            <w:r w:rsidRPr="00C04415">
              <w:rPr>
                <w:color w:val="2F2F2F"/>
                <w:sz w:val="18"/>
                <w:szCs w:val="18"/>
              </w:rPr>
              <w:t>2013</w:t>
            </w:r>
          </w:p>
        </w:tc>
        <w:tc>
          <w:tcPr>
            <w:tcW w:w="2250" w:type="dxa"/>
          </w:tcPr>
          <w:p w14:paraId="15DADE9A" w14:textId="77777777" w:rsidR="00C04415" w:rsidRPr="00C04415" w:rsidRDefault="00C04415" w:rsidP="00C04415">
            <w:pPr>
              <w:pStyle w:val="TableParagraph"/>
              <w:ind w:left="815" w:right="746"/>
              <w:rPr>
                <w:sz w:val="18"/>
                <w:szCs w:val="18"/>
              </w:rPr>
            </w:pPr>
            <w:r w:rsidRPr="00C04415">
              <w:rPr>
                <w:color w:val="414141"/>
                <w:sz w:val="18"/>
                <w:szCs w:val="18"/>
              </w:rPr>
              <w:t>25</w:t>
            </w:r>
          </w:p>
        </w:tc>
      </w:tr>
      <w:tr w:rsidR="00C04415" w:rsidRPr="00C04415" w14:paraId="0CD9D8AB" w14:textId="77777777" w:rsidTr="00C04415">
        <w:trPr>
          <w:jc w:val="center"/>
        </w:trPr>
        <w:tc>
          <w:tcPr>
            <w:tcW w:w="1998" w:type="dxa"/>
          </w:tcPr>
          <w:p w14:paraId="28D4895B" w14:textId="77777777" w:rsidR="00C04415" w:rsidRPr="00C04415" w:rsidRDefault="00C04415" w:rsidP="00C04415">
            <w:pPr>
              <w:pStyle w:val="TableParagraph"/>
              <w:ind w:left="727" w:right="642"/>
              <w:rPr>
                <w:sz w:val="18"/>
                <w:szCs w:val="18"/>
              </w:rPr>
            </w:pPr>
            <w:r w:rsidRPr="00C04415">
              <w:rPr>
                <w:color w:val="2F2F2F"/>
                <w:sz w:val="18"/>
                <w:szCs w:val="18"/>
              </w:rPr>
              <w:t>2014</w:t>
            </w:r>
          </w:p>
        </w:tc>
        <w:tc>
          <w:tcPr>
            <w:tcW w:w="2250" w:type="dxa"/>
          </w:tcPr>
          <w:p w14:paraId="7CA624AC" w14:textId="77777777" w:rsidR="00C04415" w:rsidRPr="00C04415" w:rsidRDefault="00C04415" w:rsidP="00C04415">
            <w:pPr>
              <w:pStyle w:val="TableParagraph"/>
              <w:ind w:left="815" w:right="746"/>
              <w:rPr>
                <w:sz w:val="18"/>
                <w:szCs w:val="18"/>
              </w:rPr>
            </w:pPr>
            <w:r w:rsidRPr="00C04415">
              <w:rPr>
                <w:color w:val="414141"/>
                <w:sz w:val="18"/>
                <w:szCs w:val="18"/>
              </w:rPr>
              <w:t>52</w:t>
            </w:r>
          </w:p>
        </w:tc>
      </w:tr>
      <w:tr w:rsidR="00C04415" w:rsidRPr="00C04415" w14:paraId="6F4B8B8F" w14:textId="77777777" w:rsidTr="00C04415">
        <w:trPr>
          <w:jc w:val="center"/>
        </w:trPr>
        <w:tc>
          <w:tcPr>
            <w:tcW w:w="1998" w:type="dxa"/>
          </w:tcPr>
          <w:p w14:paraId="1C59C71B" w14:textId="77777777" w:rsidR="00C04415" w:rsidRPr="00C04415" w:rsidRDefault="00C04415" w:rsidP="00C04415">
            <w:pPr>
              <w:pStyle w:val="TableParagraph"/>
              <w:ind w:left="722" w:right="647"/>
              <w:rPr>
                <w:sz w:val="18"/>
                <w:szCs w:val="18"/>
              </w:rPr>
            </w:pPr>
            <w:r w:rsidRPr="00C04415">
              <w:rPr>
                <w:color w:val="2F2F2F"/>
                <w:sz w:val="18"/>
                <w:szCs w:val="18"/>
              </w:rPr>
              <w:t>2015</w:t>
            </w:r>
          </w:p>
        </w:tc>
        <w:tc>
          <w:tcPr>
            <w:tcW w:w="2250" w:type="dxa"/>
          </w:tcPr>
          <w:p w14:paraId="3B380604" w14:textId="77777777" w:rsidR="00C04415" w:rsidRPr="00C04415" w:rsidRDefault="00C04415" w:rsidP="00C04415">
            <w:pPr>
              <w:pStyle w:val="TableParagraph"/>
              <w:ind w:left="789" w:right="746"/>
              <w:rPr>
                <w:sz w:val="18"/>
                <w:szCs w:val="18"/>
              </w:rPr>
            </w:pPr>
            <w:r w:rsidRPr="00C04415">
              <w:rPr>
                <w:color w:val="414141"/>
                <w:sz w:val="18"/>
                <w:szCs w:val="18"/>
              </w:rPr>
              <w:t>64</w:t>
            </w:r>
          </w:p>
        </w:tc>
      </w:tr>
      <w:tr w:rsidR="00C04415" w:rsidRPr="00C04415" w14:paraId="51081F43" w14:textId="77777777" w:rsidTr="00C04415">
        <w:trPr>
          <w:jc w:val="center"/>
        </w:trPr>
        <w:tc>
          <w:tcPr>
            <w:tcW w:w="1998" w:type="dxa"/>
          </w:tcPr>
          <w:p w14:paraId="4035F16C" w14:textId="77777777" w:rsidR="00C04415" w:rsidRPr="00C04415" w:rsidRDefault="00C04415" w:rsidP="00C04415">
            <w:pPr>
              <w:pStyle w:val="TableParagraph"/>
              <w:ind w:left="712" w:right="642"/>
              <w:rPr>
                <w:sz w:val="18"/>
                <w:szCs w:val="18"/>
              </w:rPr>
            </w:pPr>
            <w:r w:rsidRPr="00C04415">
              <w:rPr>
                <w:color w:val="2F2F2F"/>
                <w:sz w:val="18"/>
                <w:szCs w:val="18"/>
              </w:rPr>
              <w:t>2016</w:t>
            </w:r>
          </w:p>
        </w:tc>
        <w:tc>
          <w:tcPr>
            <w:tcW w:w="2250" w:type="dxa"/>
          </w:tcPr>
          <w:p w14:paraId="707B9B77" w14:textId="77777777" w:rsidR="00C04415" w:rsidRPr="00C04415" w:rsidRDefault="00C04415" w:rsidP="00C04415">
            <w:pPr>
              <w:pStyle w:val="TableParagraph"/>
              <w:ind w:left="68"/>
              <w:rPr>
                <w:sz w:val="18"/>
                <w:szCs w:val="18"/>
              </w:rPr>
            </w:pPr>
            <w:r w:rsidRPr="00C04415">
              <w:rPr>
                <w:color w:val="414141"/>
                <w:w w:val="101"/>
                <w:sz w:val="18"/>
                <w:szCs w:val="18"/>
              </w:rPr>
              <w:t>4</w:t>
            </w:r>
          </w:p>
        </w:tc>
      </w:tr>
      <w:tr w:rsidR="00C04415" w:rsidRPr="00C04415" w14:paraId="7C44DF8E" w14:textId="77777777" w:rsidTr="00C04415">
        <w:trPr>
          <w:jc w:val="center"/>
        </w:trPr>
        <w:tc>
          <w:tcPr>
            <w:tcW w:w="1998" w:type="dxa"/>
          </w:tcPr>
          <w:p w14:paraId="3FA43112" w14:textId="77777777" w:rsidR="00C04415" w:rsidRPr="00C04415" w:rsidRDefault="00C04415" w:rsidP="00C04415">
            <w:pPr>
              <w:pStyle w:val="TableParagraph"/>
              <w:ind w:left="712" w:right="637"/>
              <w:rPr>
                <w:sz w:val="18"/>
                <w:szCs w:val="18"/>
              </w:rPr>
            </w:pPr>
            <w:r w:rsidRPr="00C04415">
              <w:rPr>
                <w:color w:val="414141"/>
                <w:sz w:val="18"/>
                <w:szCs w:val="18"/>
              </w:rPr>
              <w:t>2017</w:t>
            </w:r>
          </w:p>
        </w:tc>
        <w:tc>
          <w:tcPr>
            <w:tcW w:w="2250" w:type="dxa"/>
          </w:tcPr>
          <w:p w14:paraId="18FB5051" w14:textId="77777777" w:rsidR="00C04415" w:rsidRPr="00C04415" w:rsidRDefault="00C04415" w:rsidP="00C04415">
            <w:pPr>
              <w:pStyle w:val="TableParagraph"/>
              <w:ind w:left="70"/>
              <w:rPr>
                <w:sz w:val="18"/>
                <w:szCs w:val="18"/>
              </w:rPr>
            </w:pPr>
            <w:r w:rsidRPr="00C04415">
              <w:rPr>
                <w:color w:val="414141"/>
                <w:w w:val="99"/>
                <w:sz w:val="18"/>
                <w:szCs w:val="18"/>
              </w:rPr>
              <w:t>5</w:t>
            </w:r>
          </w:p>
        </w:tc>
      </w:tr>
      <w:tr w:rsidR="00C04415" w:rsidRPr="00C04415" w14:paraId="79188250" w14:textId="77777777" w:rsidTr="00C04415">
        <w:trPr>
          <w:jc w:val="center"/>
        </w:trPr>
        <w:tc>
          <w:tcPr>
            <w:tcW w:w="1998" w:type="dxa"/>
          </w:tcPr>
          <w:p w14:paraId="79414A43" w14:textId="77777777" w:rsidR="00C04415" w:rsidRPr="00C04415" w:rsidRDefault="00C04415" w:rsidP="00C04415">
            <w:pPr>
              <w:pStyle w:val="TableParagraph"/>
              <w:ind w:left="710" w:right="649"/>
              <w:rPr>
                <w:sz w:val="18"/>
                <w:szCs w:val="18"/>
              </w:rPr>
            </w:pPr>
            <w:r w:rsidRPr="00C04415">
              <w:rPr>
                <w:color w:val="2F2F2F"/>
                <w:sz w:val="18"/>
                <w:szCs w:val="18"/>
              </w:rPr>
              <w:t>2019</w:t>
            </w:r>
          </w:p>
        </w:tc>
        <w:tc>
          <w:tcPr>
            <w:tcW w:w="2250" w:type="dxa"/>
          </w:tcPr>
          <w:p w14:paraId="58CAD9F5" w14:textId="77777777" w:rsidR="00C04415" w:rsidRPr="00C04415" w:rsidRDefault="00C04415" w:rsidP="00C04415">
            <w:pPr>
              <w:pStyle w:val="TableParagraph"/>
              <w:ind w:left="840" w:right="749"/>
              <w:rPr>
                <w:sz w:val="18"/>
                <w:szCs w:val="18"/>
              </w:rPr>
            </w:pPr>
            <w:r w:rsidRPr="00C04415">
              <w:rPr>
                <w:color w:val="414141"/>
                <w:w w:val="110"/>
                <w:sz w:val="18"/>
                <w:szCs w:val="18"/>
              </w:rPr>
              <w:t>41</w:t>
            </w:r>
          </w:p>
        </w:tc>
      </w:tr>
      <w:tr w:rsidR="00C04415" w:rsidRPr="00C04415" w14:paraId="398CC59D" w14:textId="77777777" w:rsidTr="00C04415">
        <w:trPr>
          <w:jc w:val="center"/>
        </w:trPr>
        <w:tc>
          <w:tcPr>
            <w:tcW w:w="1998" w:type="dxa"/>
          </w:tcPr>
          <w:p w14:paraId="3C4C2FFF" w14:textId="77777777" w:rsidR="00C04415" w:rsidRPr="00C04415" w:rsidRDefault="00C04415" w:rsidP="00C04415">
            <w:pPr>
              <w:pStyle w:val="TableParagraph"/>
              <w:ind w:left="712" w:right="649"/>
              <w:rPr>
                <w:sz w:val="18"/>
                <w:szCs w:val="18"/>
              </w:rPr>
            </w:pPr>
            <w:r w:rsidRPr="00C04415">
              <w:rPr>
                <w:color w:val="2F2F2F"/>
                <w:w w:val="105"/>
                <w:sz w:val="18"/>
                <w:szCs w:val="18"/>
              </w:rPr>
              <w:t>2020</w:t>
            </w:r>
          </w:p>
        </w:tc>
        <w:tc>
          <w:tcPr>
            <w:tcW w:w="2250" w:type="dxa"/>
          </w:tcPr>
          <w:p w14:paraId="51DA2A12" w14:textId="77777777" w:rsidR="00C04415" w:rsidRPr="00C04415" w:rsidRDefault="00C04415" w:rsidP="00C04415">
            <w:pPr>
              <w:pStyle w:val="TableParagraph"/>
              <w:ind w:left="848" w:right="756"/>
              <w:rPr>
                <w:sz w:val="18"/>
                <w:szCs w:val="18"/>
              </w:rPr>
            </w:pPr>
            <w:r w:rsidRPr="00C04415">
              <w:rPr>
                <w:color w:val="2F2F2F"/>
                <w:w w:val="105"/>
                <w:sz w:val="18"/>
                <w:szCs w:val="18"/>
              </w:rPr>
              <w:t>27</w:t>
            </w:r>
          </w:p>
        </w:tc>
      </w:tr>
    </w:tbl>
    <w:p w14:paraId="4E35B082" w14:textId="7504B828" w:rsidR="00D83463" w:rsidRDefault="00D83463" w:rsidP="00C04415">
      <w:pPr>
        <w:pStyle w:val="Textoindependiente"/>
        <w:jc w:val="center"/>
        <w:rPr>
          <w:rFonts w:ascii="Arial" w:hAnsi="Arial" w:cs="Arial"/>
          <w:b w:val="0"/>
          <w:bCs/>
          <w:sz w:val="21"/>
          <w:szCs w:val="21"/>
          <w:lang w:val="es-MX"/>
        </w:rPr>
      </w:pPr>
    </w:p>
    <w:p w14:paraId="1C26B84C" w14:textId="5B307A67" w:rsidR="00D83463" w:rsidRDefault="00D83463" w:rsidP="00C04415">
      <w:pPr>
        <w:pStyle w:val="Textoindependiente"/>
        <w:rPr>
          <w:rFonts w:ascii="Arial" w:hAnsi="Arial" w:cs="Arial"/>
          <w:b w:val="0"/>
          <w:bCs/>
          <w:sz w:val="21"/>
          <w:szCs w:val="21"/>
          <w:lang w:val="es-MX"/>
        </w:rPr>
      </w:pPr>
      <w:r>
        <w:rPr>
          <w:rFonts w:ascii="Arial" w:hAnsi="Arial" w:cs="Arial"/>
          <w:b w:val="0"/>
          <w:bCs/>
          <w:sz w:val="21"/>
          <w:szCs w:val="21"/>
          <w:lang w:val="es-MX"/>
        </w:rPr>
        <w:t xml:space="preserve">En relación </w:t>
      </w:r>
      <w:r w:rsidR="006C7B4D">
        <w:rPr>
          <w:rFonts w:ascii="Arial" w:hAnsi="Arial" w:cs="Arial"/>
          <w:b w:val="0"/>
          <w:bCs/>
          <w:sz w:val="21"/>
          <w:szCs w:val="21"/>
          <w:lang w:val="es-MX"/>
        </w:rPr>
        <w:t>con</w:t>
      </w:r>
      <w:r>
        <w:rPr>
          <w:rFonts w:ascii="Arial" w:hAnsi="Arial" w:cs="Arial"/>
          <w:b w:val="0"/>
          <w:bCs/>
          <w:sz w:val="21"/>
          <w:szCs w:val="21"/>
          <w:lang w:val="es-MX"/>
        </w:rPr>
        <w:t xml:space="preserve"> su </w:t>
      </w:r>
      <w:r w:rsidRPr="00F020B4">
        <w:rPr>
          <w:rFonts w:ascii="Arial" w:hAnsi="Arial" w:cs="Arial"/>
          <w:sz w:val="21"/>
          <w:szCs w:val="21"/>
          <w:lang w:val="es-MX"/>
        </w:rPr>
        <w:t>punto 2</w:t>
      </w:r>
      <w:r>
        <w:rPr>
          <w:rFonts w:ascii="Arial" w:hAnsi="Arial" w:cs="Arial"/>
          <w:b w:val="0"/>
          <w:bCs/>
          <w:sz w:val="21"/>
          <w:szCs w:val="21"/>
          <w:lang w:val="es-MX"/>
        </w:rPr>
        <w:t xml:space="preserve">, </w:t>
      </w:r>
      <w:r w:rsidR="009C5932">
        <w:rPr>
          <w:rFonts w:ascii="Arial" w:hAnsi="Arial" w:cs="Arial"/>
          <w:b w:val="0"/>
          <w:bCs/>
          <w:sz w:val="21"/>
          <w:szCs w:val="21"/>
          <w:lang w:val="es-MX"/>
        </w:rPr>
        <w:t xml:space="preserve">se informó que </w:t>
      </w:r>
      <w:r w:rsidRPr="00D83463">
        <w:rPr>
          <w:rFonts w:ascii="Arial" w:hAnsi="Arial" w:cs="Arial"/>
          <w:b w:val="0"/>
          <w:bCs/>
          <w:sz w:val="21"/>
          <w:szCs w:val="21"/>
          <w:lang w:val="es-MX"/>
        </w:rPr>
        <w:t xml:space="preserve">los 218 cadáveres resguardados en el </w:t>
      </w:r>
      <w:r w:rsidRPr="00F020B4">
        <w:rPr>
          <w:rFonts w:ascii="Arial" w:hAnsi="Arial" w:cs="Arial"/>
          <w:sz w:val="21"/>
          <w:szCs w:val="21"/>
          <w:lang w:val="es-MX"/>
        </w:rPr>
        <w:t>CEMEFO</w:t>
      </w:r>
      <w:r w:rsidR="00EB362F">
        <w:rPr>
          <w:rFonts w:ascii="Arial" w:hAnsi="Arial" w:cs="Arial"/>
          <w:sz w:val="21"/>
          <w:szCs w:val="21"/>
          <w:lang w:val="es-MX"/>
        </w:rPr>
        <w:t>F</w:t>
      </w:r>
      <w:r w:rsidRPr="00F020B4">
        <w:rPr>
          <w:rFonts w:ascii="Arial" w:hAnsi="Arial" w:cs="Arial"/>
          <w:sz w:val="21"/>
          <w:szCs w:val="21"/>
          <w:lang w:val="es-MX"/>
        </w:rPr>
        <w:t xml:space="preserve">E </w:t>
      </w:r>
      <w:r w:rsidRPr="00D83463">
        <w:rPr>
          <w:rFonts w:ascii="Arial" w:hAnsi="Arial" w:cs="Arial"/>
          <w:b w:val="0"/>
          <w:bCs/>
          <w:sz w:val="21"/>
          <w:szCs w:val="21"/>
          <w:lang w:val="es-MX"/>
        </w:rPr>
        <w:t>han sido ingresados como no identificados</w:t>
      </w:r>
      <w:r w:rsidR="006C7B4D">
        <w:rPr>
          <w:rFonts w:ascii="Arial" w:hAnsi="Arial" w:cs="Arial"/>
          <w:b w:val="0"/>
          <w:bCs/>
          <w:sz w:val="21"/>
          <w:szCs w:val="21"/>
          <w:lang w:val="es-MX"/>
        </w:rPr>
        <w:t>.</w:t>
      </w:r>
    </w:p>
    <w:p w14:paraId="7F75E548" w14:textId="64C75FA8" w:rsidR="00D83463" w:rsidRDefault="00D83463" w:rsidP="00C04415">
      <w:pPr>
        <w:pStyle w:val="Textoindependiente"/>
        <w:rPr>
          <w:rFonts w:ascii="Arial" w:hAnsi="Arial" w:cs="Arial"/>
          <w:b w:val="0"/>
          <w:bCs/>
          <w:sz w:val="21"/>
          <w:szCs w:val="21"/>
          <w:lang w:val="es-MX"/>
        </w:rPr>
      </w:pPr>
    </w:p>
    <w:p w14:paraId="4FAD9675" w14:textId="5FB42DA1" w:rsidR="00F020B4" w:rsidRDefault="00F020B4" w:rsidP="00C04415">
      <w:pPr>
        <w:pStyle w:val="Textoindependiente"/>
        <w:rPr>
          <w:rFonts w:ascii="Arial" w:hAnsi="Arial" w:cs="Arial"/>
          <w:b w:val="0"/>
          <w:bCs/>
          <w:sz w:val="21"/>
          <w:szCs w:val="21"/>
          <w:lang w:val="es-MX"/>
        </w:rPr>
      </w:pPr>
      <w:r>
        <w:rPr>
          <w:rFonts w:ascii="Arial" w:hAnsi="Arial" w:cs="Arial"/>
          <w:b w:val="0"/>
          <w:bCs/>
          <w:sz w:val="21"/>
          <w:szCs w:val="21"/>
          <w:lang w:val="es-MX"/>
        </w:rPr>
        <w:t xml:space="preserve">Respecto al </w:t>
      </w:r>
      <w:r w:rsidRPr="00F020B4">
        <w:rPr>
          <w:rFonts w:ascii="Arial" w:hAnsi="Arial" w:cs="Arial"/>
          <w:sz w:val="21"/>
          <w:szCs w:val="21"/>
          <w:lang w:val="es-MX"/>
        </w:rPr>
        <w:t>punto 3</w:t>
      </w:r>
      <w:r>
        <w:rPr>
          <w:rFonts w:ascii="Arial" w:hAnsi="Arial" w:cs="Arial"/>
          <w:b w:val="0"/>
          <w:bCs/>
          <w:sz w:val="21"/>
          <w:szCs w:val="21"/>
          <w:lang w:val="es-MX"/>
        </w:rPr>
        <w:t xml:space="preserve">, </w:t>
      </w:r>
      <w:r w:rsidR="009C5932">
        <w:rPr>
          <w:rFonts w:ascii="Arial" w:hAnsi="Arial" w:cs="Arial"/>
          <w:b w:val="0"/>
          <w:bCs/>
          <w:sz w:val="21"/>
          <w:szCs w:val="21"/>
          <w:lang w:val="es-MX"/>
        </w:rPr>
        <w:t xml:space="preserve">comunicó que </w:t>
      </w:r>
      <w:r>
        <w:rPr>
          <w:rFonts w:ascii="Arial" w:hAnsi="Arial" w:cs="Arial"/>
          <w:b w:val="0"/>
          <w:bCs/>
          <w:sz w:val="21"/>
          <w:szCs w:val="21"/>
          <w:lang w:val="es-MX"/>
        </w:rPr>
        <w:t>n</w:t>
      </w:r>
      <w:r w:rsidRPr="00F020B4">
        <w:rPr>
          <w:rFonts w:ascii="Arial" w:hAnsi="Arial" w:cs="Arial"/>
          <w:b w:val="0"/>
          <w:bCs/>
          <w:sz w:val="21"/>
          <w:szCs w:val="21"/>
          <w:lang w:val="es-MX"/>
        </w:rPr>
        <w:t>o</w:t>
      </w:r>
      <w:r>
        <w:rPr>
          <w:rFonts w:ascii="Arial" w:hAnsi="Arial" w:cs="Arial"/>
          <w:b w:val="0"/>
          <w:bCs/>
          <w:sz w:val="21"/>
          <w:szCs w:val="21"/>
          <w:lang w:val="es-MX"/>
        </w:rPr>
        <w:t xml:space="preserve"> se</w:t>
      </w:r>
      <w:r w:rsidRPr="00F020B4">
        <w:rPr>
          <w:rFonts w:ascii="Arial" w:hAnsi="Arial" w:cs="Arial"/>
          <w:b w:val="0"/>
          <w:bCs/>
          <w:sz w:val="21"/>
          <w:szCs w:val="21"/>
          <w:lang w:val="es-MX"/>
        </w:rPr>
        <w:t xml:space="preserve"> lleva un registro </w:t>
      </w:r>
      <w:r w:rsidRPr="00F020B4">
        <w:rPr>
          <w:rFonts w:ascii="Arial" w:hAnsi="Arial" w:cs="Arial"/>
          <w:b w:val="0"/>
          <w:bCs/>
          <w:i/>
          <w:iCs/>
          <w:sz w:val="21"/>
          <w:szCs w:val="21"/>
          <w:lang w:val="es-MX"/>
        </w:rPr>
        <w:t>per se</w:t>
      </w:r>
      <w:r w:rsidRPr="00F020B4">
        <w:rPr>
          <w:rFonts w:ascii="Arial" w:hAnsi="Arial" w:cs="Arial"/>
          <w:b w:val="0"/>
          <w:bCs/>
          <w:sz w:val="21"/>
          <w:szCs w:val="21"/>
          <w:lang w:val="es-MX"/>
        </w:rPr>
        <w:t xml:space="preserve"> de los cuerpos, cadáveres y osamentas humanas bajo resguardo del </w:t>
      </w:r>
      <w:r w:rsidRPr="00F020B4">
        <w:rPr>
          <w:rFonts w:ascii="Arial" w:hAnsi="Arial" w:cs="Arial"/>
          <w:sz w:val="21"/>
          <w:szCs w:val="21"/>
          <w:lang w:val="es-MX"/>
        </w:rPr>
        <w:t>CEMEFOFE</w:t>
      </w:r>
      <w:r w:rsidRPr="00F020B4">
        <w:rPr>
          <w:rFonts w:ascii="Arial" w:hAnsi="Arial" w:cs="Arial"/>
          <w:b w:val="0"/>
          <w:bCs/>
          <w:sz w:val="21"/>
          <w:szCs w:val="21"/>
          <w:lang w:val="es-MX"/>
        </w:rPr>
        <w:t xml:space="preserve"> que han sido o no entregados a la autoridad. Asimismo, se hace saber que el Laboratorio de Genética Forense, una vez que obtiene una identificación, informa a la autoridad requirente a través del dictamen pericial y es ésta la que determina y realiza las gestiones correspondientes para la notificación y entrega a los familiares en una fecha determinada</w:t>
      </w:r>
      <w:r>
        <w:rPr>
          <w:rFonts w:ascii="Arial" w:hAnsi="Arial" w:cs="Arial"/>
          <w:b w:val="0"/>
          <w:bCs/>
          <w:sz w:val="21"/>
          <w:szCs w:val="21"/>
          <w:lang w:val="es-MX"/>
        </w:rPr>
        <w:t>.</w:t>
      </w:r>
    </w:p>
    <w:p w14:paraId="1C2DB9D0" w14:textId="77777777" w:rsidR="00F020B4" w:rsidRDefault="00F020B4" w:rsidP="00C04415">
      <w:pPr>
        <w:pStyle w:val="Textoindependiente"/>
        <w:rPr>
          <w:rFonts w:ascii="Arial" w:hAnsi="Arial" w:cs="Arial"/>
          <w:b w:val="0"/>
          <w:bCs/>
          <w:sz w:val="21"/>
          <w:szCs w:val="21"/>
          <w:lang w:val="es-MX"/>
        </w:rPr>
      </w:pPr>
    </w:p>
    <w:p w14:paraId="70B0A8F2" w14:textId="3C211426" w:rsidR="00D83463" w:rsidRDefault="00F020B4" w:rsidP="00C04415">
      <w:pPr>
        <w:pStyle w:val="Textoindependiente"/>
        <w:rPr>
          <w:rFonts w:ascii="Arial" w:hAnsi="Arial" w:cs="Arial"/>
          <w:b w:val="0"/>
          <w:bCs/>
          <w:sz w:val="21"/>
          <w:szCs w:val="21"/>
          <w:lang w:val="es-MX"/>
        </w:rPr>
      </w:pPr>
      <w:r>
        <w:rPr>
          <w:rFonts w:ascii="Arial" w:hAnsi="Arial" w:cs="Arial"/>
          <w:b w:val="0"/>
          <w:bCs/>
          <w:sz w:val="21"/>
          <w:szCs w:val="21"/>
          <w:lang w:val="es-MX"/>
        </w:rPr>
        <w:t xml:space="preserve">En cuanto al </w:t>
      </w:r>
      <w:r w:rsidRPr="00F020B4">
        <w:rPr>
          <w:rFonts w:ascii="Arial" w:hAnsi="Arial" w:cs="Arial"/>
          <w:sz w:val="21"/>
          <w:szCs w:val="21"/>
          <w:lang w:val="es-MX"/>
        </w:rPr>
        <w:t>punto 4</w:t>
      </w:r>
      <w:r>
        <w:rPr>
          <w:rFonts w:ascii="Arial" w:hAnsi="Arial" w:cs="Arial"/>
          <w:b w:val="0"/>
          <w:bCs/>
          <w:sz w:val="21"/>
          <w:szCs w:val="21"/>
          <w:lang w:val="es-MX"/>
        </w:rPr>
        <w:t xml:space="preserve">, </w:t>
      </w:r>
      <w:r w:rsidR="009C5932">
        <w:rPr>
          <w:rFonts w:ascii="Arial" w:hAnsi="Arial" w:cs="Arial"/>
          <w:b w:val="0"/>
          <w:bCs/>
          <w:sz w:val="21"/>
          <w:szCs w:val="21"/>
          <w:lang w:val="es-MX"/>
        </w:rPr>
        <w:t xml:space="preserve">precisó que </w:t>
      </w:r>
      <w:r w:rsidRPr="00F020B4">
        <w:rPr>
          <w:rFonts w:ascii="Arial" w:hAnsi="Arial" w:cs="Arial"/>
          <w:b w:val="0"/>
          <w:bCs/>
          <w:sz w:val="21"/>
          <w:szCs w:val="21"/>
          <w:lang w:val="es-MX"/>
        </w:rPr>
        <w:t xml:space="preserve">los cadáveres ingresados al </w:t>
      </w:r>
      <w:r w:rsidRPr="00F020B4">
        <w:rPr>
          <w:rFonts w:ascii="Arial" w:hAnsi="Arial" w:cs="Arial"/>
          <w:sz w:val="21"/>
          <w:szCs w:val="21"/>
          <w:lang w:val="es-MX"/>
        </w:rPr>
        <w:t>CEMEFOFE</w:t>
      </w:r>
      <w:r w:rsidRPr="00F020B4">
        <w:rPr>
          <w:rFonts w:ascii="Arial" w:hAnsi="Arial" w:cs="Arial"/>
          <w:b w:val="0"/>
          <w:bCs/>
          <w:sz w:val="21"/>
          <w:szCs w:val="21"/>
          <w:lang w:val="es-MX"/>
        </w:rPr>
        <w:t xml:space="preserve"> en calidad de desconocidos son resguardos hasta su plena identificación</w:t>
      </w:r>
      <w:r w:rsidR="009C5932">
        <w:rPr>
          <w:rFonts w:ascii="Arial" w:hAnsi="Arial" w:cs="Arial"/>
          <w:b w:val="0"/>
          <w:bCs/>
          <w:sz w:val="21"/>
          <w:szCs w:val="21"/>
          <w:lang w:val="es-MX"/>
        </w:rPr>
        <w:t>,</w:t>
      </w:r>
      <w:r w:rsidRPr="00F020B4">
        <w:rPr>
          <w:rFonts w:ascii="Arial" w:hAnsi="Arial" w:cs="Arial"/>
          <w:b w:val="0"/>
          <w:bCs/>
          <w:sz w:val="21"/>
          <w:szCs w:val="21"/>
          <w:lang w:val="es-MX"/>
        </w:rPr>
        <w:t xml:space="preserve"> mismos que son entregados a la autoridad actuante en el momento en que </w:t>
      </w:r>
      <w:r w:rsidR="009C5932">
        <w:rPr>
          <w:rFonts w:ascii="Arial" w:hAnsi="Arial" w:cs="Arial"/>
          <w:b w:val="0"/>
          <w:bCs/>
          <w:sz w:val="21"/>
          <w:szCs w:val="21"/>
          <w:lang w:val="es-MX"/>
        </w:rPr>
        <w:t>la</w:t>
      </w:r>
      <w:r w:rsidRPr="00F020B4">
        <w:rPr>
          <w:rFonts w:ascii="Arial" w:hAnsi="Arial" w:cs="Arial"/>
          <w:b w:val="0"/>
          <w:bCs/>
          <w:sz w:val="21"/>
          <w:szCs w:val="21"/>
          <w:lang w:val="es-MX"/>
        </w:rPr>
        <w:t xml:space="preserve"> mism</w:t>
      </w:r>
      <w:r w:rsidR="009C5932">
        <w:rPr>
          <w:rFonts w:ascii="Arial" w:hAnsi="Arial" w:cs="Arial"/>
          <w:b w:val="0"/>
          <w:bCs/>
          <w:sz w:val="21"/>
          <w:szCs w:val="21"/>
          <w:lang w:val="es-MX"/>
        </w:rPr>
        <w:t>a</w:t>
      </w:r>
      <w:r w:rsidRPr="00F020B4">
        <w:rPr>
          <w:rFonts w:ascii="Arial" w:hAnsi="Arial" w:cs="Arial"/>
          <w:b w:val="0"/>
          <w:bCs/>
          <w:sz w:val="21"/>
          <w:szCs w:val="21"/>
          <w:lang w:val="es-MX"/>
        </w:rPr>
        <w:t xml:space="preserve"> lo solicite; ninguno es enviado a fosa común, servicios médicos forenses o instituto de ciencias forenses, panteones ministeriales donados a universidades, cremados o que se desconozca su ubicación.</w:t>
      </w:r>
    </w:p>
    <w:p w14:paraId="3FE092A8" w14:textId="2566FCB7" w:rsidR="00F020B4" w:rsidRDefault="00F020B4" w:rsidP="00C04415">
      <w:pPr>
        <w:pStyle w:val="Textoindependiente"/>
        <w:rPr>
          <w:rFonts w:ascii="Arial" w:hAnsi="Arial" w:cs="Arial"/>
          <w:b w:val="0"/>
          <w:bCs/>
          <w:sz w:val="21"/>
          <w:szCs w:val="21"/>
          <w:lang w:val="es-MX"/>
        </w:rPr>
      </w:pPr>
    </w:p>
    <w:p w14:paraId="7AF9CF78" w14:textId="0A86B536" w:rsidR="00F020B4" w:rsidRDefault="00F020B4" w:rsidP="00C04415">
      <w:pPr>
        <w:pStyle w:val="Textoindependiente"/>
        <w:rPr>
          <w:rFonts w:ascii="Arial" w:hAnsi="Arial" w:cs="Arial"/>
          <w:b w:val="0"/>
          <w:bCs/>
          <w:sz w:val="21"/>
          <w:szCs w:val="21"/>
          <w:lang w:val="es-MX"/>
        </w:rPr>
      </w:pPr>
      <w:r>
        <w:rPr>
          <w:rFonts w:ascii="Arial" w:hAnsi="Arial" w:cs="Arial"/>
          <w:b w:val="0"/>
          <w:bCs/>
          <w:sz w:val="21"/>
          <w:szCs w:val="21"/>
          <w:lang w:val="es-MX"/>
        </w:rPr>
        <w:t xml:space="preserve">Respecto al </w:t>
      </w:r>
      <w:r w:rsidRPr="00F020B4">
        <w:rPr>
          <w:rFonts w:ascii="Arial" w:hAnsi="Arial" w:cs="Arial"/>
          <w:sz w:val="21"/>
          <w:szCs w:val="21"/>
          <w:lang w:val="es-MX"/>
        </w:rPr>
        <w:t>punto 5</w:t>
      </w:r>
      <w:r>
        <w:rPr>
          <w:rFonts w:ascii="Arial" w:hAnsi="Arial" w:cs="Arial"/>
          <w:b w:val="0"/>
          <w:bCs/>
          <w:sz w:val="21"/>
          <w:szCs w:val="21"/>
          <w:lang w:val="es-MX"/>
        </w:rPr>
        <w:t xml:space="preserve">, </w:t>
      </w:r>
      <w:r w:rsidR="009C5932">
        <w:rPr>
          <w:rFonts w:ascii="Arial" w:hAnsi="Arial" w:cs="Arial"/>
          <w:b w:val="0"/>
          <w:bCs/>
          <w:sz w:val="21"/>
          <w:szCs w:val="21"/>
          <w:lang w:val="es-MX"/>
        </w:rPr>
        <w:t xml:space="preserve">manifestó que </w:t>
      </w:r>
      <w:r w:rsidR="00536FFA">
        <w:rPr>
          <w:rFonts w:ascii="Arial" w:hAnsi="Arial" w:cs="Arial"/>
          <w:b w:val="0"/>
          <w:bCs/>
          <w:sz w:val="21"/>
          <w:szCs w:val="21"/>
          <w:lang w:val="es-MX"/>
        </w:rPr>
        <w:t>el</w:t>
      </w:r>
      <w:r w:rsidRPr="00F020B4">
        <w:rPr>
          <w:rFonts w:ascii="Arial" w:hAnsi="Arial" w:cs="Arial"/>
          <w:b w:val="0"/>
          <w:bCs/>
          <w:sz w:val="21"/>
          <w:szCs w:val="21"/>
          <w:lang w:val="es-MX"/>
        </w:rPr>
        <w:t xml:space="preserve"> </w:t>
      </w:r>
      <w:r w:rsidRPr="00536FFA">
        <w:rPr>
          <w:rFonts w:ascii="Arial" w:hAnsi="Arial" w:cs="Arial"/>
          <w:sz w:val="21"/>
          <w:szCs w:val="21"/>
          <w:lang w:val="es-MX"/>
        </w:rPr>
        <w:t>CEMEFOFE</w:t>
      </w:r>
      <w:r w:rsidRPr="00F020B4">
        <w:rPr>
          <w:rFonts w:ascii="Arial" w:hAnsi="Arial" w:cs="Arial"/>
          <w:b w:val="0"/>
          <w:bCs/>
          <w:sz w:val="21"/>
          <w:szCs w:val="21"/>
          <w:lang w:val="es-MX"/>
        </w:rPr>
        <w:t xml:space="preserve"> </w:t>
      </w:r>
      <w:r w:rsidR="004928F5">
        <w:rPr>
          <w:rFonts w:ascii="Arial" w:hAnsi="Arial" w:cs="Arial"/>
          <w:b w:val="0"/>
          <w:bCs/>
          <w:sz w:val="21"/>
          <w:szCs w:val="21"/>
          <w:lang w:val="es-MX"/>
        </w:rPr>
        <w:t>tiene</w:t>
      </w:r>
      <w:r w:rsidRPr="00F020B4">
        <w:rPr>
          <w:rFonts w:ascii="Arial" w:hAnsi="Arial" w:cs="Arial"/>
          <w:b w:val="0"/>
          <w:bCs/>
          <w:sz w:val="21"/>
          <w:szCs w:val="21"/>
          <w:lang w:val="es-MX"/>
        </w:rPr>
        <w:t xml:space="preserve"> 13 cámaras de refrigeración para conservar los cadáveres </w:t>
      </w:r>
      <w:proofErr w:type="gramStart"/>
      <w:r w:rsidRPr="00F020B4">
        <w:rPr>
          <w:rFonts w:ascii="Arial" w:hAnsi="Arial" w:cs="Arial"/>
          <w:b w:val="0"/>
          <w:bCs/>
          <w:sz w:val="21"/>
          <w:szCs w:val="21"/>
          <w:lang w:val="es-MX"/>
        </w:rPr>
        <w:t>de acuerdo a</w:t>
      </w:r>
      <w:proofErr w:type="gramEnd"/>
      <w:r w:rsidRPr="00F020B4">
        <w:rPr>
          <w:rFonts w:ascii="Arial" w:hAnsi="Arial" w:cs="Arial"/>
          <w:b w:val="0"/>
          <w:bCs/>
          <w:sz w:val="21"/>
          <w:szCs w:val="21"/>
          <w:lang w:val="es-MX"/>
        </w:rPr>
        <w:t xml:space="preserve"> los lineamientos establecidos en la Ley General de Salud, esta cámara tiene la capacidad de albergar 65 cadáveres. Las instalaciones del </w:t>
      </w:r>
      <w:r w:rsidRPr="004928F5">
        <w:rPr>
          <w:rFonts w:ascii="Arial" w:hAnsi="Arial" w:cs="Arial"/>
          <w:sz w:val="21"/>
          <w:szCs w:val="21"/>
          <w:lang w:val="es-MX"/>
        </w:rPr>
        <w:t>CEMEFOFE</w:t>
      </w:r>
      <w:r w:rsidRPr="00F020B4">
        <w:rPr>
          <w:rFonts w:ascii="Arial" w:hAnsi="Arial" w:cs="Arial"/>
          <w:b w:val="0"/>
          <w:bCs/>
          <w:sz w:val="21"/>
          <w:szCs w:val="21"/>
          <w:lang w:val="es-MX"/>
        </w:rPr>
        <w:t xml:space="preserve"> también están equipadas con una cámara frigorífica especialmente para el resguardo de fetos y/o muestras óseas y/o tejidos con la capacidad de almacenamiento de 12 indicios, asimismo cuenta con una bodega donde se almacenan restos óseos humanos que no requieren refrigeración por el estado de reducción esquelética en el que se encuentran.</w:t>
      </w:r>
    </w:p>
    <w:p w14:paraId="7AFB8168" w14:textId="1DA07F80" w:rsidR="00F020B4" w:rsidRDefault="00F020B4" w:rsidP="00C04415">
      <w:pPr>
        <w:pStyle w:val="Textoindependiente"/>
        <w:rPr>
          <w:rFonts w:ascii="Arial" w:hAnsi="Arial" w:cs="Arial"/>
          <w:b w:val="0"/>
          <w:bCs/>
          <w:sz w:val="21"/>
          <w:szCs w:val="21"/>
          <w:lang w:val="es-MX"/>
        </w:rPr>
      </w:pPr>
    </w:p>
    <w:p w14:paraId="314809C6" w14:textId="3110F949" w:rsidR="00F020B4" w:rsidRDefault="00536FFA" w:rsidP="00C04415">
      <w:pPr>
        <w:pStyle w:val="Textoindependiente"/>
        <w:rPr>
          <w:rFonts w:ascii="Arial" w:hAnsi="Arial" w:cs="Arial"/>
          <w:b w:val="0"/>
          <w:bCs/>
          <w:sz w:val="21"/>
          <w:szCs w:val="21"/>
          <w:lang w:val="es-MX"/>
        </w:rPr>
      </w:pPr>
      <w:r>
        <w:rPr>
          <w:rFonts w:ascii="Arial" w:hAnsi="Arial" w:cs="Arial"/>
          <w:b w:val="0"/>
          <w:bCs/>
          <w:sz w:val="21"/>
          <w:szCs w:val="21"/>
          <w:lang w:val="es-MX"/>
        </w:rPr>
        <w:t xml:space="preserve">Con referencia al </w:t>
      </w:r>
      <w:r w:rsidRPr="00536FFA">
        <w:rPr>
          <w:rFonts w:ascii="Arial" w:hAnsi="Arial" w:cs="Arial"/>
          <w:sz w:val="21"/>
          <w:szCs w:val="21"/>
          <w:lang w:val="es-MX"/>
        </w:rPr>
        <w:t>punto 6</w:t>
      </w:r>
      <w:r>
        <w:rPr>
          <w:rFonts w:ascii="Arial" w:hAnsi="Arial" w:cs="Arial"/>
          <w:b w:val="0"/>
          <w:bCs/>
          <w:sz w:val="21"/>
          <w:szCs w:val="21"/>
          <w:lang w:val="es-MX"/>
        </w:rPr>
        <w:t xml:space="preserve">, </w:t>
      </w:r>
      <w:r w:rsidRPr="00536FFA">
        <w:rPr>
          <w:rFonts w:ascii="Arial" w:hAnsi="Arial" w:cs="Arial"/>
          <w:b w:val="0"/>
          <w:bCs/>
          <w:sz w:val="21"/>
          <w:szCs w:val="21"/>
          <w:lang w:val="es-MX"/>
        </w:rPr>
        <w:t xml:space="preserve">actualmente se tiene en resguardo en el </w:t>
      </w:r>
      <w:r w:rsidRPr="00536FFA">
        <w:rPr>
          <w:rFonts w:ascii="Arial" w:hAnsi="Arial" w:cs="Arial"/>
          <w:sz w:val="21"/>
          <w:szCs w:val="21"/>
          <w:lang w:val="es-MX"/>
        </w:rPr>
        <w:t>CEMEFOFE</w:t>
      </w:r>
      <w:r w:rsidRPr="00536FFA">
        <w:rPr>
          <w:rFonts w:ascii="Arial" w:hAnsi="Arial" w:cs="Arial"/>
          <w:b w:val="0"/>
          <w:bCs/>
          <w:sz w:val="21"/>
          <w:szCs w:val="21"/>
          <w:lang w:val="es-MX"/>
        </w:rPr>
        <w:t xml:space="preserve"> 255 indicios con algún peritaje pendiente.</w:t>
      </w:r>
    </w:p>
    <w:p w14:paraId="5D2D802A" w14:textId="0DF1777D" w:rsidR="00F020B4" w:rsidRDefault="00F020B4" w:rsidP="00C04415">
      <w:pPr>
        <w:pStyle w:val="Textoindependiente"/>
        <w:rPr>
          <w:rFonts w:ascii="Arial" w:hAnsi="Arial" w:cs="Arial"/>
          <w:b w:val="0"/>
          <w:bCs/>
          <w:sz w:val="21"/>
          <w:szCs w:val="21"/>
          <w:lang w:val="es-MX"/>
        </w:rPr>
      </w:pPr>
    </w:p>
    <w:p w14:paraId="0381B847" w14:textId="670E4FDB" w:rsidR="00536FFA" w:rsidRDefault="00536FFA" w:rsidP="00C04415">
      <w:pPr>
        <w:pStyle w:val="Textoindependiente"/>
        <w:rPr>
          <w:rFonts w:ascii="Arial" w:hAnsi="Arial" w:cs="Arial"/>
          <w:b w:val="0"/>
          <w:bCs/>
          <w:sz w:val="21"/>
          <w:szCs w:val="21"/>
          <w:lang w:val="es-MX"/>
        </w:rPr>
      </w:pPr>
      <w:r w:rsidRPr="00536FFA">
        <w:rPr>
          <w:rFonts w:ascii="Arial" w:hAnsi="Arial" w:cs="Arial"/>
          <w:b w:val="0"/>
          <w:bCs/>
          <w:sz w:val="21"/>
          <w:szCs w:val="21"/>
          <w:lang w:val="es-MX"/>
        </w:rPr>
        <w:lastRenderedPageBreak/>
        <w:t xml:space="preserve">Asimismo, el número de cuerpos, cadáveres y osamentas que del 1 de enero de 2006 y hasta el 31 de agosto de 2020 tienen pendiente algún peritaje o informe de alguna de las disciplinas consideradas para el informe integrado de identificación como refiere el Protocolo para el Tratamiento e Identificación Forense u otros similares que incluyan necropsia médico legal, antropología forense, odontología forense, dactiloscopia, toma de muestras biológicas para análisis de ADN y archivo básico para todos los cadáveres no identificados o con </w:t>
      </w:r>
      <w:proofErr w:type="spellStart"/>
      <w:r w:rsidRPr="00536FFA">
        <w:rPr>
          <w:rFonts w:ascii="Arial" w:hAnsi="Arial" w:cs="Arial"/>
          <w:b w:val="0"/>
          <w:bCs/>
          <w:sz w:val="21"/>
          <w:szCs w:val="21"/>
          <w:lang w:val="es-MX"/>
        </w:rPr>
        <w:t>hipótesis</w:t>
      </w:r>
      <w:proofErr w:type="spellEnd"/>
      <w:r w:rsidRPr="00536FFA">
        <w:rPr>
          <w:rFonts w:ascii="Arial" w:hAnsi="Arial" w:cs="Arial"/>
          <w:b w:val="0"/>
          <w:bCs/>
          <w:sz w:val="21"/>
          <w:szCs w:val="21"/>
          <w:lang w:val="es-MX"/>
        </w:rPr>
        <w:t xml:space="preserve"> de identificación no confirmada. Por parte de Genética Forense se encuentran pendientes de intervención para toma de muestra biológica 414 cadáveres y/o segmentos óseos humanos ingresados el</w:t>
      </w:r>
      <w:r>
        <w:rPr>
          <w:rFonts w:ascii="Arial" w:hAnsi="Arial" w:cs="Arial"/>
          <w:b w:val="0"/>
          <w:bCs/>
          <w:sz w:val="21"/>
          <w:szCs w:val="21"/>
          <w:lang w:val="es-MX"/>
        </w:rPr>
        <w:t xml:space="preserve"> </w:t>
      </w:r>
      <w:r w:rsidRPr="00536FFA">
        <w:rPr>
          <w:rFonts w:ascii="Arial" w:hAnsi="Arial" w:cs="Arial"/>
          <w:sz w:val="21"/>
          <w:szCs w:val="21"/>
          <w:lang w:val="es-MX"/>
        </w:rPr>
        <w:t>CEMEFOFE</w:t>
      </w:r>
      <w:r w:rsidRPr="00536FFA">
        <w:rPr>
          <w:rFonts w:ascii="Arial" w:hAnsi="Arial" w:cs="Arial"/>
          <w:b w:val="0"/>
          <w:bCs/>
          <w:sz w:val="21"/>
          <w:szCs w:val="21"/>
          <w:lang w:val="es-MX"/>
        </w:rPr>
        <w:t>.</w:t>
      </w:r>
    </w:p>
    <w:p w14:paraId="353BF21D" w14:textId="020DB227" w:rsidR="00536FFA" w:rsidRDefault="00536FFA" w:rsidP="00C04415">
      <w:pPr>
        <w:pStyle w:val="Textoindependiente"/>
        <w:rPr>
          <w:rFonts w:ascii="Arial" w:hAnsi="Arial" w:cs="Arial"/>
          <w:b w:val="0"/>
          <w:bCs/>
          <w:sz w:val="21"/>
          <w:szCs w:val="21"/>
          <w:lang w:val="es-MX"/>
        </w:rPr>
      </w:pPr>
    </w:p>
    <w:p w14:paraId="169FD64E" w14:textId="03190658" w:rsidR="00600497" w:rsidRPr="00600497" w:rsidRDefault="00536FFA" w:rsidP="00C04415">
      <w:pPr>
        <w:pStyle w:val="Textoindependiente"/>
        <w:rPr>
          <w:rFonts w:ascii="Arial" w:hAnsi="Arial" w:cs="Arial"/>
          <w:b w:val="0"/>
          <w:bCs/>
          <w:sz w:val="21"/>
          <w:szCs w:val="21"/>
          <w:lang w:val="es-MX"/>
        </w:rPr>
      </w:pPr>
      <w:r>
        <w:rPr>
          <w:rFonts w:ascii="Arial" w:hAnsi="Arial" w:cs="Arial"/>
          <w:b w:val="0"/>
          <w:bCs/>
          <w:sz w:val="21"/>
          <w:szCs w:val="21"/>
          <w:lang w:val="es-MX"/>
        </w:rPr>
        <w:t xml:space="preserve">En lo que concierne al </w:t>
      </w:r>
      <w:r w:rsidRPr="00600497">
        <w:rPr>
          <w:rFonts w:ascii="Arial" w:hAnsi="Arial" w:cs="Arial"/>
          <w:sz w:val="21"/>
          <w:szCs w:val="21"/>
          <w:lang w:val="es-MX"/>
        </w:rPr>
        <w:t>punto 7</w:t>
      </w:r>
      <w:r>
        <w:rPr>
          <w:rFonts w:ascii="Arial" w:hAnsi="Arial" w:cs="Arial"/>
          <w:b w:val="0"/>
          <w:bCs/>
          <w:sz w:val="21"/>
          <w:szCs w:val="21"/>
          <w:lang w:val="es-MX"/>
        </w:rPr>
        <w:t xml:space="preserve">, </w:t>
      </w:r>
      <w:r w:rsidR="00600497" w:rsidRPr="00600497">
        <w:rPr>
          <w:rFonts w:ascii="Arial" w:hAnsi="Arial" w:cs="Arial"/>
          <w:b w:val="0"/>
          <w:bCs/>
          <w:sz w:val="21"/>
          <w:szCs w:val="21"/>
          <w:lang w:val="es-MX"/>
        </w:rPr>
        <w:t>el número desagregado según especialidad, de peritos titulados con que</w:t>
      </w:r>
      <w:r w:rsidR="00600497">
        <w:rPr>
          <w:rFonts w:ascii="Arial" w:hAnsi="Arial" w:cs="Arial"/>
          <w:b w:val="0"/>
          <w:bCs/>
          <w:sz w:val="21"/>
          <w:szCs w:val="21"/>
          <w:lang w:val="es-MX"/>
        </w:rPr>
        <w:t xml:space="preserve"> se </w:t>
      </w:r>
      <w:r w:rsidR="00600497" w:rsidRPr="00600497">
        <w:rPr>
          <w:rFonts w:ascii="Arial" w:hAnsi="Arial" w:cs="Arial"/>
          <w:b w:val="0"/>
          <w:bCs/>
          <w:sz w:val="21"/>
          <w:szCs w:val="21"/>
          <w:lang w:val="es-MX"/>
        </w:rPr>
        <w:t xml:space="preserve">cuenta para la realización del Protocolo para el Tratamiento e Identificación Forense u otros similares, a </w:t>
      </w:r>
      <w:r w:rsidR="00600497">
        <w:rPr>
          <w:rFonts w:ascii="Arial" w:hAnsi="Arial" w:cs="Arial"/>
          <w:b w:val="0"/>
          <w:bCs/>
          <w:sz w:val="21"/>
          <w:szCs w:val="21"/>
          <w:lang w:val="es-MX"/>
        </w:rPr>
        <w:t>n</w:t>
      </w:r>
      <w:r w:rsidR="00600497" w:rsidRPr="00600497">
        <w:rPr>
          <w:rFonts w:ascii="Arial" w:hAnsi="Arial" w:cs="Arial"/>
          <w:b w:val="0"/>
          <w:bCs/>
          <w:sz w:val="21"/>
          <w:szCs w:val="21"/>
          <w:lang w:val="es-MX"/>
        </w:rPr>
        <w:t>ivel Nacional</w:t>
      </w:r>
      <w:r w:rsidR="00600497">
        <w:rPr>
          <w:rFonts w:ascii="Arial" w:hAnsi="Arial" w:cs="Arial"/>
          <w:b w:val="0"/>
          <w:bCs/>
          <w:sz w:val="21"/>
          <w:szCs w:val="21"/>
          <w:lang w:val="es-MX"/>
        </w:rPr>
        <w:t>, son los siguientes:</w:t>
      </w:r>
    </w:p>
    <w:p w14:paraId="0CED3CCA" w14:textId="77777777" w:rsidR="00600497" w:rsidRPr="00600497" w:rsidRDefault="00600497" w:rsidP="00C04415">
      <w:pPr>
        <w:pStyle w:val="Textoindependiente"/>
        <w:rPr>
          <w:rFonts w:ascii="Arial" w:hAnsi="Arial" w:cs="Arial"/>
          <w:b w:val="0"/>
          <w:bCs/>
          <w:sz w:val="18"/>
          <w:szCs w:val="18"/>
          <w:lang w:val="es-MX"/>
        </w:rPr>
      </w:pPr>
    </w:p>
    <w:tbl>
      <w:tblPr>
        <w:tblStyle w:val="Tablaconcuadrcula"/>
        <w:tblW w:w="0" w:type="auto"/>
        <w:jc w:val="center"/>
        <w:tblLook w:val="04A0" w:firstRow="1" w:lastRow="0" w:firstColumn="1" w:lastColumn="0" w:noHBand="0" w:noVBand="1"/>
      </w:tblPr>
      <w:tblGrid>
        <w:gridCol w:w="2541"/>
        <w:gridCol w:w="1984"/>
      </w:tblGrid>
      <w:tr w:rsidR="00600497" w:rsidRPr="00600497" w14:paraId="7572B79B" w14:textId="77777777" w:rsidTr="00CD0FB6">
        <w:trPr>
          <w:jc w:val="center"/>
        </w:trPr>
        <w:tc>
          <w:tcPr>
            <w:tcW w:w="2541" w:type="dxa"/>
            <w:shd w:val="clear" w:color="auto" w:fill="AEAAAA" w:themeFill="background2" w:themeFillShade="BF"/>
          </w:tcPr>
          <w:p w14:paraId="6114BF19" w14:textId="77777777" w:rsidR="00600497" w:rsidRPr="00600497" w:rsidRDefault="00600497" w:rsidP="00C04415">
            <w:pPr>
              <w:pStyle w:val="Textoindependiente"/>
              <w:contextualSpacing/>
              <w:rPr>
                <w:rFonts w:ascii="Arial" w:hAnsi="Arial" w:cs="Arial"/>
                <w:bCs/>
                <w:sz w:val="18"/>
                <w:szCs w:val="18"/>
              </w:rPr>
            </w:pPr>
            <w:r w:rsidRPr="00600497">
              <w:rPr>
                <w:rFonts w:ascii="Arial" w:hAnsi="Arial" w:cs="Arial"/>
                <w:bCs/>
                <w:sz w:val="18"/>
                <w:szCs w:val="18"/>
              </w:rPr>
              <w:t>ESPECIALIDAD</w:t>
            </w:r>
          </w:p>
        </w:tc>
        <w:tc>
          <w:tcPr>
            <w:tcW w:w="1984" w:type="dxa"/>
            <w:shd w:val="clear" w:color="auto" w:fill="AEAAAA" w:themeFill="background2" w:themeFillShade="BF"/>
          </w:tcPr>
          <w:p w14:paraId="73F41266" w14:textId="77777777" w:rsidR="00600497" w:rsidRPr="00600497" w:rsidRDefault="00600497" w:rsidP="00C04415">
            <w:pPr>
              <w:pStyle w:val="Textoindependiente"/>
              <w:contextualSpacing/>
              <w:rPr>
                <w:rFonts w:ascii="Arial" w:hAnsi="Arial" w:cs="Arial"/>
                <w:bCs/>
                <w:sz w:val="18"/>
                <w:szCs w:val="18"/>
              </w:rPr>
            </w:pPr>
            <w:r w:rsidRPr="00600497">
              <w:rPr>
                <w:rFonts w:ascii="Arial" w:hAnsi="Arial" w:cs="Arial"/>
                <w:bCs/>
                <w:sz w:val="18"/>
                <w:szCs w:val="18"/>
              </w:rPr>
              <w:t>NO. DE PERITOS</w:t>
            </w:r>
          </w:p>
        </w:tc>
      </w:tr>
      <w:tr w:rsidR="00600497" w:rsidRPr="00600497" w14:paraId="296D04B9" w14:textId="77777777" w:rsidTr="00CD0FB6">
        <w:trPr>
          <w:jc w:val="center"/>
        </w:trPr>
        <w:tc>
          <w:tcPr>
            <w:tcW w:w="2541" w:type="dxa"/>
          </w:tcPr>
          <w:p w14:paraId="4CFAAC85" w14:textId="77777777" w:rsidR="00600497" w:rsidRPr="00600497" w:rsidRDefault="00600497" w:rsidP="00C04415">
            <w:pPr>
              <w:pStyle w:val="Textoindependiente"/>
              <w:contextualSpacing/>
              <w:jc w:val="center"/>
              <w:rPr>
                <w:rFonts w:ascii="Arial" w:hAnsi="Arial" w:cs="Arial"/>
                <w:b w:val="0"/>
                <w:sz w:val="18"/>
                <w:szCs w:val="18"/>
              </w:rPr>
            </w:pPr>
            <w:r w:rsidRPr="00600497">
              <w:rPr>
                <w:rFonts w:ascii="Arial" w:hAnsi="Arial" w:cs="Arial"/>
                <w:b w:val="0"/>
                <w:sz w:val="18"/>
                <w:szCs w:val="18"/>
              </w:rPr>
              <w:t>Criminalística de campo</w:t>
            </w:r>
          </w:p>
        </w:tc>
        <w:tc>
          <w:tcPr>
            <w:tcW w:w="1984" w:type="dxa"/>
          </w:tcPr>
          <w:p w14:paraId="47B943DB" w14:textId="77777777" w:rsidR="00600497" w:rsidRPr="00600497" w:rsidRDefault="00600497" w:rsidP="00C04415">
            <w:pPr>
              <w:pStyle w:val="Textoindependiente"/>
              <w:contextualSpacing/>
              <w:jc w:val="center"/>
              <w:rPr>
                <w:rFonts w:ascii="Arial" w:hAnsi="Arial" w:cs="Arial"/>
                <w:b w:val="0"/>
                <w:sz w:val="18"/>
                <w:szCs w:val="18"/>
              </w:rPr>
            </w:pPr>
            <w:r w:rsidRPr="00600497">
              <w:rPr>
                <w:rFonts w:ascii="Arial" w:hAnsi="Arial" w:cs="Arial"/>
                <w:b w:val="0"/>
                <w:sz w:val="18"/>
                <w:szCs w:val="18"/>
              </w:rPr>
              <w:t>148</w:t>
            </w:r>
          </w:p>
        </w:tc>
      </w:tr>
      <w:tr w:rsidR="00600497" w:rsidRPr="00600497" w14:paraId="777DADE0" w14:textId="77777777" w:rsidTr="00CD0FB6">
        <w:trPr>
          <w:jc w:val="center"/>
        </w:trPr>
        <w:tc>
          <w:tcPr>
            <w:tcW w:w="2541" w:type="dxa"/>
          </w:tcPr>
          <w:p w14:paraId="565AF0B7" w14:textId="77777777" w:rsidR="00600497" w:rsidRPr="00600497" w:rsidRDefault="00600497" w:rsidP="00C04415">
            <w:pPr>
              <w:pStyle w:val="Textoindependiente"/>
              <w:contextualSpacing/>
              <w:jc w:val="center"/>
              <w:rPr>
                <w:rFonts w:ascii="Arial" w:hAnsi="Arial" w:cs="Arial"/>
                <w:b w:val="0"/>
                <w:sz w:val="18"/>
                <w:szCs w:val="18"/>
              </w:rPr>
            </w:pPr>
            <w:r w:rsidRPr="00600497">
              <w:rPr>
                <w:rFonts w:ascii="Arial" w:hAnsi="Arial" w:cs="Arial"/>
                <w:b w:val="0"/>
                <w:sz w:val="18"/>
                <w:szCs w:val="18"/>
              </w:rPr>
              <w:t>Dactiloscopia Forense</w:t>
            </w:r>
          </w:p>
        </w:tc>
        <w:tc>
          <w:tcPr>
            <w:tcW w:w="1984" w:type="dxa"/>
          </w:tcPr>
          <w:p w14:paraId="79D18F91" w14:textId="77777777" w:rsidR="00600497" w:rsidRPr="00600497" w:rsidRDefault="00600497" w:rsidP="00C04415">
            <w:pPr>
              <w:pStyle w:val="Textoindependiente"/>
              <w:contextualSpacing/>
              <w:jc w:val="center"/>
              <w:rPr>
                <w:rFonts w:ascii="Arial" w:hAnsi="Arial" w:cs="Arial"/>
                <w:b w:val="0"/>
                <w:sz w:val="18"/>
                <w:szCs w:val="18"/>
              </w:rPr>
            </w:pPr>
            <w:r w:rsidRPr="00600497">
              <w:rPr>
                <w:rFonts w:ascii="Arial" w:hAnsi="Arial" w:cs="Arial"/>
                <w:b w:val="0"/>
                <w:sz w:val="18"/>
                <w:szCs w:val="18"/>
              </w:rPr>
              <w:t>124</w:t>
            </w:r>
          </w:p>
        </w:tc>
      </w:tr>
      <w:tr w:rsidR="00600497" w:rsidRPr="00600497" w14:paraId="2635B2C2" w14:textId="77777777" w:rsidTr="00CD0FB6">
        <w:trPr>
          <w:jc w:val="center"/>
        </w:trPr>
        <w:tc>
          <w:tcPr>
            <w:tcW w:w="2541" w:type="dxa"/>
          </w:tcPr>
          <w:p w14:paraId="2B84627D" w14:textId="77777777" w:rsidR="00600497" w:rsidRPr="00600497" w:rsidRDefault="00600497" w:rsidP="00C04415">
            <w:pPr>
              <w:pStyle w:val="Textoindependiente"/>
              <w:contextualSpacing/>
              <w:jc w:val="center"/>
              <w:rPr>
                <w:rFonts w:ascii="Arial" w:hAnsi="Arial" w:cs="Arial"/>
                <w:b w:val="0"/>
                <w:sz w:val="18"/>
                <w:szCs w:val="18"/>
              </w:rPr>
            </w:pPr>
            <w:r w:rsidRPr="00600497">
              <w:rPr>
                <w:rFonts w:ascii="Arial" w:hAnsi="Arial" w:cs="Arial"/>
                <w:b w:val="0"/>
                <w:sz w:val="18"/>
                <w:szCs w:val="18"/>
              </w:rPr>
              <w:t>Genética Forense</w:t>
            </w:r>
          </w:p>
        </w:tc>
        <w:tc>
          <w:tcPr>
            <w:tcW w:w="1984" w:type="dxa"/>
          </w:tcPr>
          <w:p w14:paraId="10C30F7C" w14:textId="77777777" w:rsidR="00600497" w:rsidRPr="00600497" w:rsidRDefault="00600497" w:rsidP="00C04415">
            <w:pPr>
              <w:pStyle w:val="Textoindependiente"/>
              <w:contextualSpacing/>
              <w:jc w:val="center"/>
              <w:rPr>
                <w:rFonts w:ascii="Arial" w:hAnsi="Arial" w:cs="Arial"/>
                <w:b w:val="0"/>
                <w:sz w:val="18"/>
                <w:szCs w:val="18"/>
              </w:rPr>
            </w:pPr>
            <w:r w:rsidRPr="00600497">
              <w:rPr>
                <w:rFonts w:ascii="Arial" w:hAnsi="Arial" w:cs="Arial"/>
                <w:b w:val="0"/>
                <w:sz w:val="18"/>
                <w:szCs w:val="18"/>
              </w:rPr>
              <w:t>46</w:t>
            </w:r>
          </w:p>
        </w:tc>
      </w:tr>
    </w:tbl>
    <w:p w14:paraId="7344D7C4" w14:textId="654BED7E" w:rsidR="00536FFA" w:rsidRDefault="00536FFA" w:rsidP="00C04415">
      <w:pPr>
        <w:pStyle w:val="Textoindependiente"/>
        <w:rPr>
          <w:rFonts w:ascii="Arial" w:hAnsi="Arial" w:cs="Arial"/>
          <w:b w:val="0"/>
          <w:bCs/>
          <w:sz w:val="21"/>
          <w:szCs w:val="21"/>
          <w:lang w:val="es-MX"/>
        </w:rPr>
      </w:pPr>
    </w:p>
    <w:p w14:paraId="2CE2E2ED" w14:textId="27B2108D" w:rsidR="00600497" w:rsidRDefault="00600497" w:rsidP="00C04415">
      <w:pPr>
        <w:pStyle w:val="Textoindependiente"/>
        <w:rPr>
          <w:rFonts w:ascii="Arial" w:hAnsi="Arial" w:cs="Arial"/>
          <w:b w:val="0"/>
          <w:bCs/>
          <w:sz w:val="21"/>
          <w:szCs w:val="21"/>
          <w:lang w:val="es-MX"/>
        </w:rPr>
      </w:pPr>
      <w:r>
        <w:rPr>
          <w:rFonts w:ascii="Arial" w:hAnsi="Arial" w:cs="Arial"/>
          <w:b w:val="0"/>
          <w:bCs/>
          <w:sz w:val="21"/>
          <w:szCs w:val="21"/>
          <w:lang w:val="es-MX"/>
        </w:rPr>
        <w:t xml:space="preserve">Respecto al </w:t>
      </w:r>
      <w:r w:rsidRPr="00600497">
        <w:rPr>
          <w:rFonts w:ascii="Arial" w:hAnsi="Arial" w:cs="Arial"/>
          <w:sz w:val="21"/>
          <w:szCs w:val="21"/>
          <w:lang w:val="es-MX"/>
        </w:rPr>
        <w:t>punto 8</w:t>
      </w:r>
      <w:r>
        <w:rPr>
          <w:rFonts w:ascii="Arial" w:hAnsi="Arial" w:cs="Arial"/>
          <w:b w:val="0"/>
          <w:bCs/>
          <w:sz w:val="21"/>
          <w:szCs w:val="21"/>
          <w:lang w:val="es-MX"/>
        </w:rPr>
        <w:t xml:space="preserve">, </w:t>
      </w:r>
      <w:r w:rsidRPr="00600497">
        <w:rPr>
          <w:rFonts w:ascii="Arial" w:hAnsi="Arial" w:cs="Arial"/>
          <w:b w:val="0"/>
          <w:bCs/>
          <w:sz w:val="21"/>
          <w:szCs w:val="21"/>
          <w:lang w:val="es-MX"/>
        </w:rPr>
        <w:t>se proporcionan los siguientes datos que se han incorporado a la base de datos AM/PM:</w:t>
      </w:r>
    </w:p>
    <w:p w14:paraId="170BDCDF" w14:textId="3D251E32" w:rsidR="00536FFA" w:rsidRDefault="00536FFA" w:rsidP="00C04415">
      <w:pPr>
        <w:pStyle w:val="Textoindependiente"/>
        <w:rPr>
          <w:rFonts w:ascii="Arial" w:hAnsi="Arial" w:cs="Arial"/>
          <w:b w:val="0"/>
          <w:bCs/>
          <w:sz w:val="21"/>
          <w:szCs w:val="21"/>
          <w:lang w:val="es-MX"/>
        </w:rPr>
      </w:pPr>
    </w:p>
    <w:tbl>
      <w:tblPr>
        <w:tblStyle w:val="Tablaconcuadrcula"/>
        <w:tblW w:w="0" w:type="auto"/>
        <w:jc w:val="center"/>
        <w:tblLook w:val="04A0" w:firstRow="1" w:lastRow="0" w:firstColumn="1" w:lastColumn="0" w:noHBand="0" w:noVBand="1"/>
      </w:tblPr>
      <w:tblGrid>
        <w:gridCol w:w="2207"/>
        <w:gridCol w:w="2126"/>
      </w:tblGrid>
      <w:tr w:rsidR="00600497" w:rsidRPr="00600497" w14:paraId="36A82A56" w14:textId="77777777" w:rsidTr="00600497">
        <w:trPr>
          <w:jc w:val="center"/>
        </w:trPr>
        <w:tc>
          <w:tcPr>
            <w:tcW w:w="2207" w:type="dxa"/>
            <w:shd w:val="clear" w:color="auto" w:fill="AEAAAA" w:themeFill="background2" w:themeFillShade="BF"/>
          </w:tcPr>
          <w:p w14:paraId="7F99AF00" w14:textId="77777777" w:rsidR="00600497" w:rsidRPr="00600497" w:rsidRDefault="00600497" w:rsidP="00C04415">
            <w:pPr>
              <w:pStyle w:val="Textoindependiente"/>
              <w:contextualSpacing/>
              <w:jc w:val="center"/>
              <w:rPr>
                <w:rFonts w:ascii="Arial" w:hAnsi="Arial" w:cs="Arial"/>
                <w:bCs/>
                <w:sz w:val="18"/>
                <w:szCs w:val="18"/>
              </w:rPr>
            </w:pPr>
            <w:r w:rsidRPr="00600497">
              <w:rPr>
                <w:rFonts w:ascii="Arial" w:hAnsi="Arial" w:cs="Arial"/>
                <w:bCs/>
                <w:sz w:val="18"/>
                <w:szCs w:val="18"/>
              </w:rPr>
              <w:t>CIFRAS</w:t>
            </w:r>
          </w:p>
        </w:tc>
        <w:tc>
          <w:tcPr>
            <w:tcW w:w="2126" w:type="dxa"/>
            <w:shd w:val="clear" w:color="auto" w:fill="AEAAAA" w:themeFill="background2" w:themeFillShade="BF"/>
          </w:tcPr>
          <w:p w14:paraId="69DBF739" w14:textId="77777777" w:rsidR="00600497" w:rsidRPr="00600497" w:rsidRDefault="00600497" w:rsidP="00C04415">
            <w:pPr>
              <w:pStyle w:val="Textoindependiente"/>
              <w:contextualSpacing/>
              <w:jc w:val="center"/>
              <w:rPr>
                <w:rFonts w:ascii="Arial" w:hAnsi="Arial" w:cs="Arial"/>
                <w:bCs/>
                <w:sz w:val="18"/>
                <w:szCs w:val="18"/>
              </w:rPr>
            </w:pPr>
            <w:proofErr w:type="gramStart"/>
            <w:r w:rsidRPr="00600497">
              <w:rPr>
                <w:rFonts w:ascii="Arial" w:hAnsi="Arial" w:cs="Arial"/>
                <w:bCs/>
                <w:sz w:val="18"/>
                <w:szCs w:val="18"/>
              </w:rPr>
              <w:t>TOTAL</w:t>
            </w:r>
            <w:proofErr w:type="gramEnd"/>
            <w:r w:rsidRPr="00600497">
              <w:rPr>
                <w:rFonts w:ascii="Arial" w:hAnsi="Arial" w:cs="Arial"/>
                <w:bCs/>
                <w:sz w:val="18"/>
                <w:szCs w:val="18"/>
              </w:rPr>
              <w:t xml:space="preserve"> EN LA BASE DE DATOS</w:t>
            </w:r>
          </w:p>
        </w:tc>
      </w:tr>
      <w:tr w:rsidR="00600497" w:rsidRPr="00600497" w14:paraId="13200609" w14:textId="77777777" w:rsidTr="00600497">
        <w:trPr>
          <w:jc w:val="center"/>
        </w:trPr>
        <w:tc>
          <w:tcPr>
            <w:tcW w:w="2207" w:type="dxa"/>
          </w:tcPr>
          <w:p w14:paraId="6C6CFCE8" w14:textId="77777777" w:rsidR="00600497" w:rsidRPr="00600497" w:rsidRDefault="00600497" w:rsidP="00C04415">
            <w:pPr>
              <w:jc w:val="center"/>
              <w:rPr>
                <w:rFonts w:ascii="Arial" w:hAnsi="Arial" w:cs="Arial"/>
                <w:sz w:val="18"/>
                <w:szCs w:val="18"/>
              </w:rPr>
            </w:pPr>
            <w:r w:rsidRPr="00600497">
              <w:rPr>
                <w:rFonts w:ascii="Arial" w:hAnsi="Arial" w:cs="Arial"/>
                <w:sz w:val="18"/>
                <w:szCs w:val="18"/>
              </w:rPr>
              <w:t>PERSONAS</w:t>
            </w:r>
          </w:p>
        </w:tc>
        <w:tc>
          <w:tcPr>
            <w:tcW w:w="2126" w:type="dxa"/>
          </w:tcPr>
          <w:p w14:paraId="764368FF" w14:textId="77777777" w:rsidR="00600497" w:rsidRPr="00600497" w:rsidRDefault="00600497" w:rsidP="00C04415">
            <w:pPr>
              <w:jc w:val="center"/>
              <w:rPr>
                <w:rFonts w:ascii="Arial" w:hAnsi="Arial" w:cs="Arial"/>
                <w:sz w:val="18"/>
                <w:szCs w:val="18"/>
              </w:rPr>
            </w:pPr>
            <w:r w:rsidRPr="00600497">
              <w:rPr>
                <w:rFonts w:ascii="Arial" w:hAnsi="Arial" w:cs="Arial"/>
                <w:sz w:val="18"/>
                <w:szCs w:val="18"/>
              </w:rPr>
              <w:t>135</w:t>
            </w:r>
          </w:p>
        </w:tc>
      </w:tr>
      <w:tr w:rsidR="00600497" w:rsidRPr="00600497" w14:paraId="0B3CB470" w14:textId="77777777" w:rsidTr="00600497">
        <w:trPr>
          <w:jc w:val="center"/>
        </w:trPr>
        <w:tc>
          <w:tcPr>
            <w:tcW w:w="2207" w:type="dxa"/>
          </w:tcPr>
          <w:p w14:paraId="4E944370" w14:textId="77777777" w:rsidR="00600497" w:rsidRPr="00600497" w:rsidRDefault="00600497" w:rsidP="00C04415">
            <w:pPr>
              <w:jc w:val="center"/>
              <w:rPr>
                <w:rFonts w:ascii="Arial" w:hAnsi="Arial" w:cs="Arial"/>
                <w:sz w:val="18"/>
                <w:szCs w:val="18"/>
              </w:rPr>
            </w:pPr>
            <w:r w:rsidRPr="00600497">
              <w:rPr>
                <w:rFonts w:ascii="Arial" w:hAnsi="Arial" w:cs="Arial"/>
                <w:sz w:val="18"/>
                <w:szCs w:val="18"/>
              </w:rPr>
              <w:t>EVENTOS</w:t>
            </w:r>
          </w:p>
        </w:tc>
        <w:tc>
          <w:tcPr>
            <w:tcW w:w="2126" w:type="dxa"/>
          </w:tcPr>
          <w:p w14:paraId="0AF8F0DB" w14:textId="77777777" w:rsidR="00600497" w:rsidRPr="00600497" w:rsidRDefault="00600497" w:rsidP="00C04415">
            <w:pPr>
              <w:jc w:val="center"/>
              <w:rPr>
                <w:rFonts w:ascii="Arial" w:hAnsi="Arial" w:cs="Arial"/>
                <w:sz w:val="18"/>
                <w:szCs w:val="18"/>
              </w:rPr>
            </w:pPr>
            <w:r w:rsidRPr="00600497">
              <w:rPr>
                <w:rFonts w:ascii="Arial" w:hAnsi="Arial" w:cs="Arial"/>
                <w:sz w:val="18"/>
                <w:szCs w:val="18"/>
              </w:rPr>
              <w:t>8</w:t>
            </w:r>
          </w:p>
        </w:tc>
      </w:tr>
      <w:tr w:rsidR="00600497" w:rsidRPr="00600497" w14:paraId="6B6E1315" w14:textId="77777777" w:rsidTr="00600497">
        <w:trPr>
          <w:jc w:val="center"/>
        </w:trPr>
        <w:tc>
          <w:tcPr>
            <w:tcW w:w="2207" w:type="dxa"/>
          </w:tcPr>
          <w:p w14:paraId="32E2ECFA" w14:textId="77777777" w:rsidR="00600497" w:rsidRPr="00600497" w:rsidRDefault="00600497" w:rsidP="00C04415">
            <w:pPr>
              <w:jc w:val="center"/>
              <w:rPr>
                <w:rFonts w:ascii="Arial" w:hAnsi="Arial" w:cs="Arial"/>
                <w:sz w:val="18"/>
                <w:szCs w:val="18"/>
              </w:rPr>
            </w:pPr>
            <w:r w:rsidRPr="00600497">
              <w:rPr>
                <w:rFonts w:ascii="Arial" w:hAnsi="Arial" w:cs="Arial"/>
                <w:sz w:val="18"/>
                <w:szCs w:val="18"/>
              </w:rPr>
              <w:t>SITIO</w:t>
            </w:r>
          </w:p>
        </w:tc>
        <w:tc>
          <w:tcPr>
            <w:tcW w:w="2126" w:type="dxa"/>
          </w:tcPr>
          <w:p w14:paraId="0253FF19" w14:textId="77777777" w:rsidR="00600497" w:rsidRPr="00600497" w:rsidRDefault="00600497" w:rsidP="00C04415">
            <w:pPr>
              <w:jc w:val="center"/>
              <w:rPr>
                <w:rFonts w:ascii="Arial" w:hAnsi="Arial" w:cs="Arial"/>
                <w:sz w:val="18"/>
                <w:szCs w:val="18"/>
              </w:rPr>
            </w:pPr>
            <w:r w:rsidRPr="00600497">
              <w:rPr>
                <w:rFonts w:ascii="Arial" w:hAnsi="Arial" w:cs="Arial"/>
                <w:sz w:val="18"/>
                <w:szCs w:val="18"/>
              </w:rPr>
              <w:t>102</w:t>
            </w:r>
          </w:p>
        </w:tc>
      </w:tr>
      <w:tr w:rsidR="00600497" w:rsidRPr="00600497" w14:paraId="2DE8E6C5" w14:textId="77777777" w:rsidTr="00600497">
        <w:trPr>
          <w:jc w:val="center"/>
        </w:trPr>
        <w:tc>
          <w:tcPr>
            <w:tcW w:w="2207" w:type="dxa"/>
          </w:tcPr>
          <w:p w14:paraId="78DF04E3" w14:textId="77777777" w:rsidR="00600497" w:rsidRPr="00600497" w:rsidRDefault="00600497" w:rsidP="00C04415">
            <w:pPr>
              <w:jc w:val="center"/>
              <w:rPr>
                <w:rFonts w:ascii="Arial" w:hAnsi="Arial" w:cs="Arial"/>
                <w:sz w:val="18"/>
                <w:szCs w:val="18"/>
              </w:rPr>
            </w:pPr>
            <w:r w:rsidRPr="00600497">
              <w:rPr>
                <w:rFonts w:ascii="Arial" w:hAnsi="Arial" w:cs="Arial"/>
                <w:sz w:val="18"/>
                <w:szCs w:val="18"/>
              </w:rPr>
              <w:t>PR</w:t>
            </w:r>
          </w:p>
        </w:tc>
        <w:tc>
          <w:tcPr>
            <w:tcW w:w="2126" w:type="dxa"/>
          </w:tcPr>
          <w:p w14:paraId="64F88A92" w14:textId="77777777" w:rsidR="00600497" w:rsidRPr="00600497" w:rsidRDefault="00600497" w:rsidP="00C04415">
            <w:pPr>
              <w:jc w:val="center"/>
              <w:rPr>
                <w:rFonts w:ascii="Arial" w:hAnsi="Arial" w:cs="Arial"/>
                <w:sz w:val="18"/>
                <w:szCs w:val="18"/>
              </w:rPr>
            </w:pPr>
            <w:r w:rsidRPr="00600497">
              <w:rPr>
                <w:rFonts w:ascii="Arial" w:hAnsi="Arial" w:cs="Arial"/>
                <w:sz w:val="18"/>
                <w:szCs w:val="18"/>
              </w:rPr>
              <w:t>227</w:t>
            </w:r>
          </w:p>
        </w:tc>
      </w:tr>
      <w:tr w:rsidR="00600497" w:rsidRPr="00600497" w14:paraId="76CE2D07" w14:textId="77777777" w:rsidTr="00600497">
        <w:trPr>
          <w:jc w:val="center"/>
        </w:trPr>
        <w:tc>
          <w:tcPr>
            <w:tcW w:w="2207" w:type="dxa"/>
          </w:tcPr>
          <w:p w14:paraId="5AE9E456" w14:textId="77777777" w:rsidR="00600497" w:rsidRPr="00600497" w:rsidRDefault="00600497" w:rsidP="00C04415">
            <w:pPr>
              <w:jc w:val="center"/>
              <w:rPr>
                <w:rFonts w:ascii="Arial" w:hAnsi="Arial" w:cs="Arial"/>
                <w:sz w:val="18"/>
                <w:szCs w:val="18"/>
              </w:rPr>
            </w:pPr>
            <w:r w:rsidRPr="00600497">
              <w:rPr>
                <w:rFonts w:ascii="Arial" w:hAnsi="Arial" w:cs="Arial"/>
                <w:sz w:val="18"/>
                <w:szCs w:val="18"/>
              </w:rPr>
              <w:t>CPM</w:t>
            </w:r>
          </w:p>
        </w:tc>
        <w:tc>
          <w:tcPr>
            <w:tcW w:w="2126" w:type="dxa"/>
          </w:tcPr>
          <w:p w14:paraId="5BDE3618" w14:textId="77777777" w:rsidR="00600497" w:rsidRPr="00600497" w:rsidRDefault="00600497" w:rsidP="00C04415">
            <w:pPr>
              <w:jc w:val="center"/>
              <w:rPr>
                <w:rFonts w:ascii="Arial" w:hAnsi="Arial" w:cs="Arial"/>
                <w:sz w:val="18"/>
                <w:szCs w:val="18"/>
              </w:rPr>
            </w:pPr>
            <w:r w:rsidRPr="00600497">
              <w:rPr>
                <w:rFonts w:ascii="Arial" w:hAnsi="Arial" w:cs="Arial"/>
                <w:sz w:val="18"/>
                <w:szCs w:val="18"/>
              </w:rPr>
              <w:t>421</w:t>
            </w:r>
          </w:p>
        </w:tc>
      </w:tr>
    </w:tbl>
    <w:p w14:paraId="136040F0" w14:textId="0E9E4E6F" w:rsidR="00600497" w:rsidRPr="00600497" w:rsidRDefault="00A51D24" w:rsidP="00C04415">
      <w:pPr>
        <w:pStyle w:val="Textoindependiente"/>
        <w:ind w:left="1440" w:firstLine="720"/>
        <w:contextualSpacing/>
        <w:jc w:val="left"/>
        <w:rPr>
          <w:rFonts w:ascii="Raleway" w:hAnsi="Raleway" w:cs="Tahoma"/>
          <w:b w:val="0"/>
          <w:sz w:val="16"/>
          <w:szCs w:val="16"/>
          <w:lang w:val="es-MX"/>
        </w:rPr>
      </w:pPr>
      <w:r>
        <w:rPr>
          <w:rFonts w:ascii="Raleway" w:hAnsi="Raleway" w:cs="Tahoma"/>
          <w:sz w:val="16"/>
          <w:szCs w:val="16"/>
          <w:lang w:val="es-MX"/>
        </w:rPr>
        <w:t xml:space="preserve">       </w:t>
      </w:r>
      <w:r w:rsidR="00600497" w:rsidRPr="00600497">
        <w:rPr>
          <w:rFonts w:ascii="Raleway" w:hAnsi="Raleway" w:cs="Tahoma"/>
          <w:sz w:val="16"/>
          <w:szCs w:val="16"/>
          <w:lang w:val="es-MX"/>
        </w:rPr>
        <w:t>PR=</w:t>
      </w:r>
      <w:r w:rsidR="00600497" w:rsidRPr="00600497">
        <w:rPr>
          <w:rFonts w:ascii="Raleway" w:hAnsi="Raleway" w:cs="Tahoma"/>
          <w:b w:val="0"/>
          <w:sz w:val="16"/>
          <w:szCs w:val="16"/>
          <w:lang w:val="es-MX"/>
        </w:rPr>
        <w:t xml:space="preserve">Punto de recuperación </w:t>
      </w:r>
      <w:r w:rsidR="00600497" w:rsidRPr="00600497">
        <w:rPr>
          <w:rFonts w:ascii="Raleway" w:hAnsi="Raleway" w:cs="Tahoma"/>
          <w:sz w:val="16"/>
          <w:szCs w:val="16"/>
          <w:lang w:val="es-MX"/>
        </w:rPr>
        <w:t>CPM=</w:t>
      </w:r>
      <w:r w:rsidR="00600497" w:rsidRPr="00600497">
        <w:rPr>
          <w:rFonts w:ascii="Raleway" w:hAnsi="Raleway" w:cs="Tahoma"/>
          <w:b w:val="0"/>
          <w:sz w:val="16"/>
          <w:szCs w:val="16"/>
          <w:lang w:val="es-MX"/>
        </w:rPr>
        <w:t>Caso de PM</w:t>
      </w:r>
    </w:p>
    <w:p w14:paraId="54042D12" w14:textId="3F41DB43" w:rsidR="00536FFA" w:rsidRDefault="00536FFA" w:rsidP="00C04415">
      <w:pPr>
        <w:pStyle w:val="Textoindependiente"/>
        <w:rPr>
          <w:rFonts w:ascii="Arial" w:hAnsi="Arial" w:cs="Arial"/>
          <w:b w:val="0"/>
          <w:bCs/>
          <w:sz w:val="21"/>
          <w:szCs w:val="21"/>
          <w:lang w:val="es-MX"/>
        </w:rPr>
      </w:pPr>
    </w:p>
    <w:p w14:paraId="6D73E5FB" w14:textId="17071CF9" w:rsidR="00A51D24" w:rsidRDefault="00A51D24" w:rsidP="00C04415">
      <w:pPr>
        <w:pStyle w:val="Textoindependiente"/>
        <w:rPr>
          <w:rFonts w:ascii="Arial" w:hAnsi="Arial" w:cs="Arial"/>
          <w:b w:val="0"/>
          <w:bCs/>
          <w:sz w:val="21"/>
          <w:szCs w:val="21"/>
          <w:lang w:val="es-MX"/>
        </w:rPr>
      </w:pPr>
      <w:r>
        <w:rPr>
          <w:rFonts w:ascii="Arial" w:hAnsi="Arial" w:cs="Arial"/>
          <w:b w:val="0"/>
          <w:bCs/>
          <w:sz w:val="21"/>
          <w:szCs w:val="21"/>
          <w:lang w:val="es-MX"/>
        </w:rPr>
        <w:t xml:space="preserve">Por lo que hace </w:t>
      </w:r>
      <w:r w:rsidRPr="00A51D24">
        <w:rPr>
          <w:rFonts w:ascii="Arial" w:hAnsi="Arial" w:cs="Arial"/>
          <w:sz w:val="21"/>
          <w:szCs w:val="21"/>
          <w:lang w:val="es-MX"/>
        </w:rPr>
        <w:t>al punto 9</w:t>
      </w:r>
      <w:r>
        <w:rPr>
          <w:rFonts w:ascii="Arial" w:hAnsi="Arial" w:cs="Arial"/>
          <w:b w:val="0"/>
          <w:bCs/>
          <w:sz w:val="21"/>
          <w:szCs w:val="21"/>
          <w:lang w:val="es-MX"/>
        </w:rPr>
        <w:t xml:space="preserve">, </w:t>
      </w:r>
      <w:r w:rsidRPr="00A51D24">
        <w:rPr>
          <w:rFonts w:ascii="Arial" w:hAnsi="Arial" w:cs="Arial"/>
          <w:b w:val="0"/>
          <w:bCs/>
          <w:sz w:val="21"/>
          <w:szCs w:val="21"/>
          <w:lang w:val="es-MX"/>
        </w:rPr>
        <w:t xml:space="preserve">el número de identificaciones positivas obtenidas mediante el análisis genético de muestras biológicas obtenidas de los cuerpos, cadáveres y osamentas que ingresaron como no identificados, entre el 1 de enero de 2006 y el 31 de agosto de 2020. </w:t>
      </w:r>
    </w:p>
    <w:p w14:paraId="06EF3136" w14:textId="213F934D" w:rsidR="00A51D24" w:rsidRDefault="00A51D24" w:rsidP="00C04415">
      <w:pPr>
        <w:pStyle w:val="Textoindependiente"/>
        <w:rPr>
          <w:rFonts w:ascii="Arial" w:hAnsi="Arial" w:cs="Arial"/>
          <w:b w:val="0"/>
          <w:bCs/>
          <w:sz w:val="21"/>
          <w:szCs w:val="21"/>
          <w:lang w:val="es-MX"/>
        </w:rPr>
      </w:pPr>
    </w:p>
    <w:tbl>
      <w:tblPr>
        <w:tblStyle w:val="Tablaconcuadrcula"/>
        <w:tblW w:w="0" w:type="auto"/>
        <w:jc w:val="center"/>
        <w:tblLook w:val="04A0" w:firstRow="1" w:lastRow="0" w:firstColumn="1" w:lastColumn="0" w:noHBand="0" w:noVBand="1"/>
      </w:tblPr>
      <w:tblGrid>
        <w:gridCol w:w="1555"/>
        <w:gridCol w:w="2126"/>
      </w:tblGrid>
      <w:tr w:rsidR="00A51D24" w:rsidRPr="007F3D3F" w14:paraId="10571F7E" w14:textId="77777777" w:rsidTr="00A51D24">
        <w:trPr>
          <w:jc w:val="center"/>
        </w:trPr>
        <w:tc>
          <w:tcPr>
            <w:tcW w:w="1555" w:type="dxa"/>
            <w:shd w:val="clear" w:color="auto" w:fill="AEAAAA" w:themeFill="background2" w:themeFillShade="BF"/>
          </w:tcPr>
          <w:p w14:paraId="2CD1FA85" w14:textId="77777777" w:rsidR="00A51D24" w:rsidRPr="007F3D3F" w:rsidRDefault="00A51D24" w:rsidP="00C04415">
            <w:pPr>
              <w:pStyle w:val="Textoindependiente"/>
              <w:contextualSpacing/>
              <w:jc w:val="center"/>
              <w:rPr>
                <w:rFonts w:ascii="Raleway" w:hAnsi="Raleway" w:cs="Tahoma"/>
                <w:bCs/>
                <w:sz w:val="20"/>
              </w:rPr>
            </w:pPr>
            <w:bookmarkStart w:id="4" w:name="_Hlk56516547"/>
            <w:r w:rsidRPr="007F3D3F">
              <w:rPr>
                <w:rFonts w:ascii="Raleway" w:hAnsi="Raleway" w:cs="Tahoma"/>
                <w:bCs/>
                <w:sz w:val="20"/>
              </w:rPr>
              <w:t>AÑO</w:t>
            </w:r>
          </w:p>
        </w:tc>
        <w:tc>
          <w:tcPr>
            <w:tcW w:w="2126" w:type="dxa"/>
            <w:shd w:val="clear" w:color="auto" w:fill="AEAAAA" w:themeFill="background2" w:themeFillShade="BF"/>
          </w:tcPr>
          <w:p w14:paraId="0E849BBB" w14:textId="77777777" w:rsidR="00A51D24" w:rsidRPr="007F3D3F" w:rsidRDefault="00A51D24" w:rsidP="00C04415">
            <w:pPr>
              <w:pStyle w:val="Textoindependiente"/>
              <w:contextualSpacing/>
              <w:jc w:val="center"/>
              <w:rPr>
                <w:rFonts w:ascii="Raleway" w:hAnsi="Raleway" w:cs="Tahoma"/>
                <w:bCs/>
                <w:sz w:val="20"/>
              </w:rPr>
            </w:pPr>
            <w:r>
              <w:rPr>
                <w:rFonts w:ascii="Raleway" w:hAnsi="Raleway" w:cs="Tahoma"/>
                <w:bCs/>
                <w:sz w:val="20"/>
              </w:rPr>
              <w:t>IDENTIFICADOS POR GENETICA *</w:t>
            </w:r>
          </w:p>
        </w:tc>
      </w:tr>
      <w:tr w:rsidR="00A51D24" w:rsidRPr="007F3D3F" w14:paraId="78CDEC2D" w14:textId="77777777" w:rsidTr="00A51D24">
        <w:trPr>
          <w:jc w:val="center"/>
        </w:trPr>
        <w:tc>
          <w:tcPr>
            <w:tcW w:w="1555" w:type="dxa"/>
          </w:tcPr>
          <w:p w14:paraId="795FCDFB"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2014</w:t>
            </w:r>
          </w:p>
        </w:tc>
        <w:tc>
          <w:tcPr>
            <w:tcW w:w="2126" w:type="dxa"/>
          </w:tcPr>
          <w:p w14:paraId="6B6E12A3"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1</w:t>
            </w:r>
          </w:p>
        </w:tc>
      </w:tr>
      <w:tr w:rsidR="00A51D24" w:rsidRPr="007F3D3F" w14:paraId="0C41F40A" w14:textId="77777777" w:rsidTr="00A51D24">
        <w:trPr>
          <w:jc w:val="center"/>
        </w:trPr>
        <w:tc>
          <w:tcPr>
            <w:tcW w:w="1555" w:type="dxa"/>
          </w:tcPr>
          <w:p w14:paraId="0EEA6905"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2015</w:t>
            </w:r>
          </w:p>
        </w:tc>
        <w:tc>
          <w:tcPr>
            <w:tcW w:w="2126" w:type="dxa"/>
          </w:tcPr>
          <w:p w14:paraId="51CBA33B"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21</w:t>
            </w:r>
          </w:p>
        </w:tc>
      </w:tr>
      <w:tr w:rsidR="00A51D24" w:rsidRPr="007F3D3F" w14:paraId="506CA4CD" w14:textId="77777777" w:rsidTr="00A51D24">
        <w:trPr>
          <w:jc w:val="center"/>
        </w:trPr>
        <w:tc>
          <w:tcPr>
            <w:tcW w:w="1555" w:type="dxa"/>
          </w:tcPr>
          <w:p w14:paraId="593BE2CC"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2016</w:t>
            </w:r>
          </w:p>
        </w:tc>
        <w:tc>
          <w:tcPr>
            <w:tcW w:w="2126" w:type="dxa"/>
          </w:tcPr>
          <w:p w14:paraId="69788AAB"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5</w:t>
            </w:r>
          </w:p>
        </w:tc>
      </w:tr>
      <w:tr w:rsidR="00A51D24" w:rsidRPr="007F3D3F" w14:paraId="5B136F68" w14:textId="77777777" w:rsidTr="00A51D24">
        <w:trPr>
          <w:jc w:val="center"/>
        </w:trPr>
        <w:tc>
          <w:tcPr>
            <w:tcW w:w="1555" w:type="dxa"/>
          </w:tcPr>
          <w:p w14:paraId="72FB2EC7"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2017</w:t>
            </w:r>
          </w:p>
        </w:tc>
        <w:tc>
          <w:tcPr>
            <w:tcW w:w="2126" w:type="dxa"/>
          </w:tcPr>
          <w:p w14:paraId="293E6E1F"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8</w:t>
            </w:r>
          </w:p>
        </w:tc>
      </w:tr>
      <w:tr w:rsidR="00A51D24" w:rsidRPr="007F3D3F" w14:paraId="12D105B3" w14:textId="77777777" w:rsidTr="00A51D24">
        <w:trPr>
          <w:jc w:val="center"/>
        </w:trPr>
        <w:tc>
          <w:tcPr>
            <w:tcW w:w="1555" w:type="dxa"/>
          </w:tcPr>
          <w:p w14:paraId="13A5C1F3"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2018</w:t>
            </w:r>
          </w:p>
        </w:tc>
        <w:tc>
          <w:tcPr>
            <w:tcW w:w="2126" w:type="dxa"/>
          </w:tcPr>
          <w:p w14:paraId="590E4099"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6</w:t>
            </w:r>
          </w:p>
        </w:tc>
      </w:tr>
      <w:tr w:rsidR="00A51D24" w:rsidRPr="007F3D3F" w14:paraId="64378C32" w14:textId="77777777" w:rsidTr="00A51D24">
        <w:trPr>
          <w:jc w:val="center"/>
        </w:trPr>
        <w:tc>
          <w:tcPr>
            <w:tcW w:w="1555" w:type="dxa"/>
          </w:tcPr>
          <w:p w14:paraId="77D46EE1"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2019</w:t>
            </w:r>
          </w:p>
        </w:tc>
        <w:tc>
          <w:tcPr>
            <w:tcW w:w="2126" w:type="dxa"/>
          </w:tcPr>
          <w:p w14:paraId="2BAE9930"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12</w:t>
            </w:r>
          </w:p>
        </w:tc>
      </w:tr>
      <w:tr w:rsidR="00A51D24" w:rsidRPr="007F3D3F" w14:paraId="3B1BDEA5" w14:textId="77777777" w:rsidTr="00A51D24">
        <w:trPr>
          <w:jc w:val="center"/>
        </w:trPr>
        <w:tc>
          <w:tcPr>
            <w:tcW w:w="1555" w:type="dxa"/>
          </w:tcPr>
          <w:p w14:paraId="420A3820"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2020</w:t>
            </w:r>
          </w:p>
        </w:tc>
        <w:tc>
          <w:tcPr>
            <w:tcW w:w="2126" w:type="dxa"/>
          </w:tcPr>
          <w:p w14:paraId="1D17F4ED" w14:textId="77777777" w:rsidR="00A51D24" w:rsidRPr="007F3D3F" w:rsidRDefault="00A51D24" w:rsidP="00C04415">
            <w:pPr>
              <w:pStyle w:val="Textoindependiente"/>
              <w:contextualSpacing/>
              <w:jc w:val="center"/>
              <w:rPr>
                <w:rFonts w:ascii="Raleway" w:hAnsi="Raleway" w:cs="Tahoma"/>
                <w:b w:val="0"/>
                <w:sz w:val="20"/>
              </w:rPr>
            </w:pPr>
            <w:r>
              <w:rPr>
                <w:rFonts w:ascii="Raleway" w:hAnsi="Raleway" w:cs="Tahoma"/>
                <w:b w:val="0"/>
                <w:sz w:val="20"/>
              </w:rPr>
              <w:t>5</w:t>
            </w:r>
          </w:p>
        </w:tc>
      </w:tr>
    </w:tbl>
    <w:bookmarkEnd w:id="4"/>
    <w:p w14:paraId="6B5F331E" w14:textId="107B1581" w:rsidR="00536FFA" w:rsidRDefault="00A51D24" w:rsidP="00C04415">
      <w:pPr>
        <w:pStyle w:val="Textoindependiente"/>
        <w:rPr>
          <w:rFonts w:ascii="Arial" w:hAnsi="Arial" w:cs="Arial"/>
          <w:b w:val="0"/>
          <w:bCs/>
          <w:sz w:val="16"/>
          <w:szCs w:val="16"/>
          <w:lang w:val="es-MX"/>
        </w:rPr>
      </w:pPr>
      <w:r w:rsidRPr="00A51D24">
        <w:rPr>
          <w:rFonts w:ascii="Arial" w:hAnsi="Arial" w:cs="Arial"/>
          <w:b w:val="0"/>
          <w:bCs/>
          <w:sz w:val="16"/>
          <w:szCs w:val="16"/>
          <w:lang w:val="es-MX"/>
        </w:rPr>
        <w:t>*Las cifras reflejan el número de identificados del total de cadáveres y/o restos óseos humanos ingresados al Centro Médico Forense Federal en el año en cuestión.</w:t>
      </w:r>
    </w:p>
    <w:p w14:paraId="5CF4B2DA" w14:textId="77777777" w:rsidR="00D21A57" w:rsidRPr="00A51D24" w:rsidRDefault="00D21A57" w:rsidP="00C04415">
      <w:pPr>
        <w:pStyle w:val="Textoindependiente"/>
        <w:rPr>
          <w:rFonts w:ascii="Arial" w:hAnsi="Arial" w:cs="Arial"/>
          <w:b w:val="0"/>
          <w:bCs/>
          <w:sz w:val="16"/>
          <w:szCs w:val="16"/>
          <w:lang w:val="es-MX"/>
        </w:rPr>
      </w:pPr>
    </w:p>
    <w:p w14:paraId="1797CBBF" w14:textId="78327E14" w:rsidR="00536FFA" w:rsidRPr="00A51D24" w:rsidRDefault="00A51D24" w:rsidP="00C04415">
      <w:pPr>
        <w:pStyle w:val="Textoindependiente"/>
        <w:rPr>
          <w:rFonts w:ascii="Arial" w:hAnsi="Arial" w:cs="Arial"/>
          <w:b w:val="0"/>
          <w:bCs/>
          <w:sz w:val="21"/>
          <w:szCs w:val="21"/>
          <w:lang w:val="es-MX"/>
        </w:rPr>
      </w:pPr>
      <w:r w:rsidRPr="00A51D24">
        <w:rPr>
          <w:rFonts w:ascii="Arial" w:hAnsi="Arial" w:cs="Arial"/>
          <w:b w:val="0"/>
          <w:bCs/>
          <w:sz w:val="21"/>
          <w:szCs w:val="21"/>
          <w:lang w:val="es-MX"/>
        </w:rPr>
        <w:t xml:space="preserve">Finalmente, </w:t>
      </w:r>
      <w:r>
        <w:rPr>
          <w:rFonts w:ascii="Arial" w:hAnsi="Arial" w:cs="Arial"/>
          <w:b w:val="0"/>
          <w:bCs/>
          <w:sz w:val="21"/>
          <w:szCs w:val="21"/>
          <w:lang w:val="es-MX"/>
        </w:rPr>
        <w:t xml:space="preserve">por lo que hace al </w:t>
      </w:r>
      <w:r w:rsidRPr="00C04415">
        <w:rPr>
          <w:rFonts w:ascii="Arial" w:hAnsi="Arial" w:cs="Arial"/>
          <w:sz w:val="21"/>
          <w:szCs w:val="21"/>
          <w:lang w:val="es-MX"/>
        </w:rPr>
        <w:t>punto 10</w:t>
      </w:r>
      <w:r>
        <w:rPr>
          <w:rFonts w:ascii="Arial" w:hAnsi="Arial" w:cs="Arial"/>
          <w:b w:val="0"/>
          <w:bCs/>
          <w:sz w:val="21"/>
          <w:szCs w:val="21"/>
          <w:lang w:val="es-MX"/>
        </w:rPr>
        <w:t xml:space="preserve">, </w:t>
      </w:r>
      <w:r w:rsidR="00C04415">
        <w:rPr>
          <w:rFonts w:ascii="Arial" w:hAnsi="Arial" w:cs="Arial"/>
          <w:b w:val="0"/>
          <w:bCs/>
          <w:sz w:val="21"/>
          <w:szCs w:val="21"/>
          <w:lang w:val="es-MX"/>
        </w:rPr>
        <w:t>a</w:t>
      </w:r>
      <w:r w:rsidR="00C04415" w:rsidRPr="00C04415">
        <w:rPr>
          <w:rFonts w:ascii="Arial" w:hAnsi="Arial" w:cs="Arial"/>
          <w:b w:val="0"/>
          <w:bCs/>
          <w:sz w:val="21"/>
          <w:szCs w:val="21"/>
          <w:lang w:val="es-MX"/>
        </w:rPr>
        <w:t xml:space="preserve"> la fecha en los archivos </w:t>
      </w:r>
      <w:r w:rsidR="00C04415">
        <w:rPr>
          <w:rFonts w:ascii="Arial" w:hAnsi="Arial" w:cs="Arial"/>
          <w:b w:val="0"/>
          <w:bCs/>
          <w:sz w:val="21"/>
          <w:szCs w:val="21"/>
          <w:lang w:val="es-MX"/>
        </w:rPr>
        <w:t>con los que se cuentan,</w:t>
      </w:r>
      <w:r w:rsidR="00C04415" w:rsidRPr="00C04415">
        <w:rPr>
          <w:rFonts w:ascii="Arial" w:hAnsi="Arial" w:cs="Arial"/>
          <w:b w:val="0"/>
          <w:bCs/>
          <w:sz w:val="21"/>
          <w:szCs w:val="21"/>
          <w:lang w:val="es-MX"/>
        </w:rPr>
        <w:t xml:space="preserve"> no se tienen registro de algún cadáver al cual se le haya rectificado o corregido su identidad</w:t>
      </w:r>
      <w:r w:rsidR="00C04415">
        <w:rPr>
          <w:rFonts w:ascii="Arial" w:hAnsi="Arial" w:cs="Arial"/>
          <w:b w:val="0"/>
          <w:bCs/>
          <w:sz w:val="21"/>
          <w:szCs w:val="21"/>
          <w:lang w:val="es-MX"/>
        </w:rPr>
        <w:t>.</w:t>
      </w:r>
    </w:p>
    <w:p w14:paraId="03BB3ED5" w14:textId="77777777" w:rsidR="007C0CD7" w:rsidRDefault="007C0CD7" w:rsidP="00C04415">
      <w:pPr>
        <w:pStyle w:val="Textoindependiente"/>
        <w:rPr>
          <w:rFonts w:ascii="Arial" w:hAnsi="Arial" w:cs="Arial"/>
          <w:b w:val="0"/>
          <w:bCs/>
          <w:sz w:val="21"/>
          <w:szCs w:val="21"/>
          <w:lang w:val="es-MX"/>
        </w:rPr>
      </w:pPr>
    </w:p>
    <w:p w14:paraId="4AA05515" w14:textId="77777777" w:rsidR="00A6203E" w:rsidRPr="007020F6" w:rsidRDefault="00A6203E" w:rsidP="00C04415">
      <w:pPr>
        <w:autoSpaceDE w:val="0"/>
        <w:autoSpaceDN w:val="0"/>
        <w:adjustRightInd w:val="0"/>
        <w:jc w:val="both"/>
        <w:rPr>
          <w:rFonts w:ascii="Arial" w:hAnsi="Arial" w:cs="Arial"/>
          <w:sz w:val="21"/>
          <w:szCs w:val="21"/>
          <w:lang w:val="es-MX"/>
        </w:rPr>
      </w:pPr>
      <w:r w:rsidRPr="007020F6">
        <w:rPr>
          <w:rFonts w:ascii="Arial" w:eastAsia="Calibri" w:hAnsi="Arial" w:cs="Arial"/>
          <w:iCs/>
          <w:sz w:val="21"/>
          <w:szCs w:val="21"/>
          <w:lang w:val="es-MX"/>
        </w:rPr>
        <w:t xml:space="preserve">No se omite señalar que, </w:t>
      </w:r>
      <w:r w:rsidRPr="007020F6">
        <w:rPr>
          <w:rFonts w:ascii="Arial" w:hAnsi="Arial" w:cs="Arial"/>
          <w:sz w:val="21"/>
          <w:szCs w:val="21"/>
          <w:lang w:val="es-MX"/>
        </w:rPr>
        <w:t xml:space="preserve">el presente oficio de respuesta se entrega de conformidad con lo estipulado en el párrafo cuarto del artículo 130 de la LFTAIP, el cual señala que los sujetos obligados deberán otorgar acceso a los documentos que se encuentren en sus archivos en el formato en el que se </w:t>
      </w:r>
      <w:r w:rsidRPr="007020F6">
        <w:rPr>
          <w:rFonts w:ascii="Arial" w:hAnsi="Arial" w:cs="Arial"/>
          <w:sz w:val="21"/>
          <w:szCs w:val="21"/>
          <w:lang w:val="es-MX"/>
        </w:rPr>
        <w:lastRenderedPageBreak/>
        <w:t>localice, conforme a las características físicas de la información o del lugar donde se halle, tal y como acontece en la especie.</w:t>
      </w:r>
    </w:p>
    <w:p w14:paraId="03ECEBA3" w14:textId="77777777" w:rsidR="00A6203E" w:rsidRDefault="00A6203E" w:rsidP="00C04415">
      <w:pPr>
        <w:jc w:val="both"/>
        <w:rPr>
          <w:rFonts w:ascii="Arial" w:hAnsi="Arial" w:cs="Arial"/>
          <w:sz w:val="21"/>
          <w:szCs w:val="21"/>
          <w:lang w:val="es-MX"/>
        </w:rPr>
      </w:pPr>
    </w:p>
    <w:p w14:paraId="331879FF" w14:textId="77777777" w:rsidR="00A6203E" w:rsidRPr="00571AE1" w:rsidRDefault="00A6203E" w:rsidP="00C04415">
      <w:pPr>
        <w:jc w:val="both"/>
        <w:rPr>
          <w:rFonts w:ascii="Arial" w:hAnsi="Arial" w:cs="Arial"/>
          <w:b/>
          <w:sz w:val="21"/>
          <w:szCs w:val="21"/>
          <w:lang w:val="es-MX"/>
        </w:rPr>
      </w:pPr>
      <w:r w:rsidRPr="00571AE1">
        <w:rPr>
          <w:rFonts w:ascii="Arial" w:hAnsi="Arial" w:cs="Arial"/>
          <w:sz w:val="21"/>
          <w:szCs w:val="21"/>
          <w:lang w:val="es-MX"/>
        </w:rPr>
        <w:t xml:space="preserve">Si derivado de la respuesta a su solicitud de información le surge alguna duda, puede acudir a esta Unidad de Transparencia y Apertura Gubernamental, ubicada en Avenida de los Insurgentes, número 20, piso 23, Colonia Roma Norte, Alcaldía Cuauhtémoc, C.P. 06700 en la Ciudad de México; llamar al teléfono (55) 5346 0000, extensiones 505402 y 505716; o bien, escribirnos al correo electrónico </w:t>
      </w:r>
      <w:hyperlink r:id="rId8" w:history="1">
        <w:r w:rsidRPr="00571AE1">
          <w:rPr>
            <w:rStyle w:val="Hipervnculo"/>
            <w:rFonts w:ascii="Arial" w:hAnsi="Arial" w:cs="Arial"/>
            <w:sz w:val="21"/>
            <w:szCs w:val="21"/>
            <w:lang w:val="es-MX"/>
          </w:rPr>
          <w:t>leydetransparencia@pgr.gob.mx</w:t>
        </w:r>
      </w:hyperlink>
      <w:r w:rsidRPr="00571AE1">
        <w:rPr>
          <w:rFonts w:ascii="Arial" w:hAnsi="Arial" w:cs="Arial"/>
          <w:sz w:val="21"/>
          <w:szCs w:val="21"/>
          <w:lang w:val="es-MX"/>
        </w:rPr>
        <w:t xml:space="preserve"> en donde con gusto le atenderemos.</w:t>
      </w:r>
    </w:p>
    <w:p w14:paraId="752F59E7" w14:textId="77777777" w:rsidR="00E03BE0" w:rsidRPr="00571AE1" w:rsidRDefault="00E03BE0" w:rsidP="00C04415">
      <w:pPr>
        <w:pStyle w:val="Textoindependiente"/>
        <w:rPr>
          <w:rFonts w:ascii="Arial" w:hAnsi="Arial" w:cs="Arial"/>
          <w:b w:val="0"/>
          <w:sz w:val="21"/>
          <w:szCs w:val="21"/>
          <w:lang w:val="es-MX"/>
        </w:rPr>
      </w:pPr>
    </w:p>
    <w:p w14:paraId="3498FC6A" w14:textId="77777777" w:rsidR="00935B17" w:rsidRPr="00571AE1" w:rsidRDefault="00935B17" w:rsidP="00C04415">
      <w:pPr>
        <w:pStyle w:val="Textoindependiente"/>
        <w:rPr>
          <w:rFonts w:ascii="Arial" w:hAnsi="Arial" w:cs="Arial"/>
          <w:b w:val="0"/>
          <w:sz w:val="21"/>
          <w:szCs w:val="21"/>
          <w:lang w:val="es-MX"/>
        </w:rPr>
      </w:pPr>
      <w:r w:rsidRPr="00571AE1">
        <w:rPr>
          <w:rFonts w:ascii="Arial" w:hAnsi="Arial" w:cs="Arial"/>
          <w:b w:val="0"/>
          <w:sz w:val="21"/>
          <w:szCs w:val="21"/>
          <w:lang w:val="es-MX"/>
        </w:rPr>
        <w:t xml:space="preserve">Sin otro particular, reciba un cordial saludo. </w:t>
      </w:r>
    </w:p>
    <w:p w14:paraId="6C182DF8" w14:textId="77777777" w:rsidR="00935B17" w:rsidRPr="00571AE1" w:rsidRDefault="00935B17" w:rsidP="00C04415">
      <w:pPr>
        <w:pStyle w:val="Textoindependiente"/>
        <w:rPr>
          <w:rFonts w:ascii="Arial" w:hAnsi="Arial" w:cs="Arial"/>
          <w:b w:val="0"/>
          <w:sz w:val="24"/>
          <w:szCs w:val="24"/>
          <w:lang w:val="es-MX"/>
        </w:rPr>
      </w:pPr>
    </w:p>
    <w:p w14:paraId="76A87D86" w14:textId="77777777" w:rsidR="00466384" w:rsidRPr="00571AE1" w:rsidRDefault="00466384" w:rsidP="00C04415">
      <w:pPr>
        <w:pStyle w:val="Textoindependiente"/>
        <w:jc w:val="center"/>
        <w:rPr>
          <w:rFonts w:ascii="Arial" w:hAnsi="Arial" w:cs="Arial"/>
          <w:sz w:val="24"/>
          <w:szCs w:val="24"/>
          <w:lang w:val="es-MX"/>
        </w:rPr>
      </w:pPr>
      <w:r w:rsidRPr="00571AE1">
        <w:rPr>
          <w:rFonts w:ascii="Arial" w:hAnsi="Arial" w:cs="Arial"/>
          <w:sz w:val="24"/>
          <w:szCs w:val="24"/>
          <w:lang w:val="es-MX"/>
        </w:rPr>
        <w:t>A T E N T A M E N T E</w:t>
      </w:r>
    </w:p>
    <w:p w14:paraId="38E47664" w14:textId="77777777" w:rsidR="00466384" w:rsidRPr="00571AE1" w:rsidRDefault="00466384" w:rsidP="00C04415">
      <w:pPr>
        <w:jc w:val="center"/>
        <w:rPr>
          <w:rFonts w:ascii="Arial" w:eastAsia="Times New Roman" w:hAnsi="Arial" w:cs="Arial"/>
          <w:b/>
          <w:lang w:val="es-MX" w:eastAsia="es-ES"/>
        </w:rPr>
      </w:pPr>
      <w:r w:rsidRPr="00571AE1">
        <w:rPr>
          <w:rFonts w:ascii="Arial" w:eastAsia="Times New Roman" w:hAnsi="Arial" w:cs="Arial"/>
          <w:b/>
          <w:lang w:val="es-MX" w:eastAsia="es-ES"/>
        </w:rPr>
        <w:t xml:space="preserve">UNIDAD DE TRANSPARENCIA </w:t>
      </w:r>
    </w:p>
    <w:p w14:paraId="2F9EA5C8" w14:textId="77777777" w:rsidR="00466384" w:rsidRPr="00571AE1" w:rsidRDefault="00466384" w:rsidP="00C04415">
      <w:pPr>
        <w:jc w:val="center"/>
        <w:rPr>
          <w:rFonts w:ascii="Arial" w:eastAsia="Times New Roman" w:hAnsi="Arial" w:cs="Arial"/>
          <w:b/>
          <w:lang w:val="es-MX" w:eastAsia="es-ES"/>
        </w:rPr>
      </w:pPr>
      <w:r w:rsidRPr="00571AE1">
        <w:rPr>
          <w:rFonts w:ascii="Arial" w:eastAsia="Times New Roman" w:hAnsi="Arial" w:cs="Arial"/>
          <w:b/>
          <w:lang w:val="es-MX" w:eastAsia="es-ES"/>
        </w:rPr>
        <w:t>Y APERTURA GUBERNAMENTAL</w:t>
      </w:r>
    </w:p>
    <w:p w14:paraId="744AC01F" w14:textId="77777777" w:rsidR="00466384" w:rsidRPr="00571AE1" w:rsidRDefault="00466384" w:rsidP="00C04415">
      <w:pPr>
        <w:jc w:val="center"/>
        <w:rPr>
          <w:rFonts w:ascii="Arial" w:eastAsia="Times New Roman" w:hAnsi="Arial" w:cs="Arial"/>
          <w:b/>
          <w:lang w:val="es-MX" w:eastAsia="es-ES"/>
        </w:rPr>
      </w:pPr>
      <w:r w:rsidRPr="00571AE1">
        <w:rPr>
          <w:rFonts w:ascii="Arial" w:eastAsia="Times New Roman" w:hAnsi="Arial" w:cs="Arial"/>
          <w:b/>
          <w:lang w:val="es-MX" w:eastAsia="es-ES"/>
        </w:rPr>
        <w:t>FISCALÍA GENERAL DE LA REPÚBLICA</w:t>
      </w:r>
    </w:p>
    <w:p w14:paraId="72B956A0" w14:textId="77777777" w:rsidR="00466384" w:rsidRPr="00571AE1" w:rsidRDefault="00466384" w:rsidP="00C04415">
      <w:pPr>
        <w:rPr>
          <w:rFonts w:ascii="Arial" w:eastAsia="Times New Roman" w:hAnsi="Arial" w:cs="Arial"/>
          <w:sz w:val="14"/>
          <w:szCs w:val="14"/>
          <w:lang w:val="es-MX" w:eastAsia="es-ES"/>
        </w:rPr>
      </w:pPr>
    </w:p>
    <w:p w14:paraId="4B3D3195" w14:textId="77777777" w:rsidR="00466384" w:rsidRPr="00571AE1" w:rsidRDefault="00466384" w:rsidP="00C04415">
      <w:pPr>
        <w:rPr>
          <w:rFonts w:ascii="Arial" w:eastAsia="Times New Roman" w:hAnsi="Arial" w:cs="Arial"/>
          <w:sz w:val="14"/>
          <w:szCs w:val="14"/>
          <w:lang w:val="es-MX" w:eastAsia="es-ES"/>
        </w:rPr>
      </w:pPr>
      <w:r w:rsidRPr="00571AE1">
        <w:rPr>
          <w:rFonts w:ascii="Arial" w:eastAsia="Times New Roman" w:hAnsi="Arial" w:cs="Arial"/>
          <w:sz w:val="14"/>
          <w:szCs w:val="14"/>
          <w:lang w:val="es-MX" w:eastAsia="es-ES"/>
        </w:rPr>
        <w:t>Vo. Bo. Lic. MACC.</w:t>
      </w:r>
    </w:p>
    <w:p w14:paraId="05A40BE8" w14:textId="77777777" w:rsidR="00466384" w:rsidRPr="00571AE1" w:rsidRDefault="00466384" w:rsidP="00C04415">
      <w:pPr>
        <w:rPr>
          <w:rFonts w:ascii="Arial" w:hAnsi="Arial" w:cs="Arial"/>
          <w:sz w:val="14"/>
          <w:szCs w:val="14"/>
          <w:lang w:val="es-MX" w:eastAsia="es-ES"/>
        </w:rPr>
      </w:pPr>
      <w:r w:rsidRPr="00571AE1">
        <w:rPr>
          <w:rFonts w:ascii="Arial" w:hAnsi="Arial" w:cs="Arial"/>
          <w:sz w:val="14"/>
          <w:szCs w:val="14"/>
          <w:lang w:val="es-MX" w:eastAsia="es-ES"/>
        </w:rPr>
        <w:t>Revisó.: Lcda. MLDM.</w:t>
      </w:r>
    </w:p>
    <w:p w14:paraId="0169708B" w14:textId="77777777" w:rsidR="00466384" w:rsidRPr="00571AE1" w:rsidRDefault="00466384" w:rsidP="00C04415">
      <w:pPr>
        <w:rPr>
          <w:rFonts w:ascii="Arial" w:hAnsi="Arial" w:cs="Arial"/>
          <w:sz w:val="14"/>
          <w:szCs w:val="14"/>
          <w:lang w:val="es-MX" w:eastAsia="es-ES"/>
        </w:rPr>
      </w:pPr>
      <w:r w:rsidRPr="00571AE1">
        <w:rPr>
          <w:rFonts w:ascii="Arial" w:hAnsi="Arial" w:cs="Arial"/>
          <w:sz w:val="14"/>
          <w:szCs w:val="14"/>
          <w:lang w:val="es-MX" w:eastAsia="es-ES"/>
        </w:rPr>
        <w:t>Elaboró: Mtra. ANC.</w:t>
      </w:r>
    </w:p>
    <w:bookmarkEnd w:id="3"/>
    <w:p w14:paraId="450F2CE2" w14:textId="77777777" w:rsidR="003F76A2" w:rsidRPr="00571AE1" w:rsidRDefault="003F76A2" w:rsidP="00C04415">
      <w:pPr>
        <w:rPr>
          <w:rFonts w:ascii="Arial" w:hAnsi="Arial" w:cs="Arial"/>
          <w:sz w:val="14"/>
          <w:szCs w:val="14"/>
          <w:lang w:val="es-ES_tradnl" w:eastAsia="es-ES"/>
        </w:rPr>
      </w:pPr>
    </w:p>
    <w:sectPr w:rsidR="003F76A2" w:rsidRPr="00571AE1" w:rsidSect="00EA69EB">
      <w:headerReference w:type="default" r:id="rId9"/>
      <w:footerReference w:type="default" r:id="rId10"/>
      <w:pgSz w:w="12240" w:h="15840" w:code="1"/>
      <w:pgMar w:top="1417" w:right="1325" w:bottom="1417" w:left="1701" w:header="39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3317" w14:textId="77777777" w:rsidR="00337B71" w:rsidRDefault="00337B71" w:rsidP="00692BD5">
      <w:r>
        <w:separator/>
      </w:r>
    </w:p>
  </w:endnote>
  <w:endnote w:type="continuationSeparator" w:id="0">
    <w:p w14:paraId="08FBB6A3" w14:textId="77777777" w:rsidR="00337B71" w:rsidRDefault="00337B71" w:rsidP="0069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Raleway">
    <w:altName w:val="Trebuchet MS"/>
    <w:panose1 w:val="020B05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Raleway SemiBold">
    <w:altName w:val="Trebuchet MS"/>
    <w:panose1 w:val="020B07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DCD7" w14:textId="77777777" w:rsidR="00A8616D" w:rsidRDefault="00A8616D" w:rsidP="00375079">
    <w:pPr>
      <w:pStyle w:val="Piedepgina"/>
      <w:jc w:val="center"/>
      <w:rPr>
        <w:rFonts w:ascii="Raleway" w:hAnsi="Raleway"/>
        <w:b/>
        <w:color w:val="3B3838" w:themeColor="background2" w:themeShade="40"/>
        <w:sz w:val="18"/>
        <w:szCs w:val="18"/>
        <w:lang w:val="es-ES"/>
      </w:rPr>
    </w:pPr>
  </w:p>
  <w:p w14:paraId="7BEBFDA4" w14:textId="77777777" w:rsidR="00A8616D" w:rsidRPr="003A2F56" w:rsidRDefault="00A8616D" w:rsidP="00375079">
    <w:pPr>
      <w:pStyle w:val="Piedepgina"/>
      <w:jc w:val="center"/>
      <w:rPr>
        <w:rFonts w:ascii="Raleway" w:hAnsi="Raleway"/>
        <w:b/>
        <w:color w:val="3B3838" w:themeColor="background2" w:themeShade="40"/>
        <w:sz w:val="18"/>
        <w:szCs w:val="18"/>
        <w:lang w:val="es-ES"/>
      </w:rPr>
    </w:pPr>
    <w:r w:rsidRPr="003A2F56">
      <w:rPr>
        <w:rFonts w:ascii="Raleway" w:hAnsi="Raleway"/>
        <w:b/>
        <w:color w:val="3B3838" w:themeColor="background2" w:themeShade="40"/>
        <w:sz w:val="18"/>
        <w:szCs w:val="18"/>
        <w:lang w:val="es-ES"/>
      </w:rPr>
      <w:t>Av. Insurgentes No. 20, de la Glorieta de Insurgentes, Col. Roma Norte, Alcaldía Cuauhtémoc, CDMX, CP 06700, +52 (55) 5346 – 0000 Ext. 505716 y 505402 / www.gob.mx/pgr</w:t>
    </w:r>
  </w:p>
  <w:sdt>
    <w:sdtPr>
      <w:rPr>
        <w:rFonts w:ascii="Raleway" w:hAnsi="Raleway"/>
        <w:color w:val="3B3838" w:themeColor="background2" w:themeShade="40"/>
        <w:sz w:val="18"/>
        <w:szCs w:val="18"/>
      </w:rPr>
      <w:id w:val="1750695420"/>
      <w:docPartObj>
        <w:docPartGallery w:val="Page Numbers (Bottom of Page)"/>
        <w:docPartUnique/>
      </w:docPartObj>
    </w:sdtPr>
    <w:sdtEndPr/>
    <w:sdtContent>
      <w:p w14:paraId="276E7F1B" w14:textId="77777777" w:rsidR="00A8616D" w:rsidRPr="003A2F56" w:rsidRDefault="00A8616D" w:rsidP="00375079">
        <w:pPr>
          <w:pStyle w:val="Piedepgina"/>
          <w:jc w:val="right"/>
          <w:rPr>
            <w:rFonts w:ascii="Raleway" w:hAnsi="Raleway"/>
            <w:color w:val="3B3838" w:themeColor="background2" w:themeShade="40"/>
            <w:sz w:val="18"/>
            <w:szCs w:val="18"/>
          </w:rPr>
        </w:pPr>
        <w:r w:rsidRPr="003A2F56">
          <w:rPr>
            <w:rFonts w:ascii="Raleway" w:hAnsi="Raleway"/>
            <w:color w:val="3B3838" w:themeColor="background2" w:themeShade="40"/>
            <w:sz w:val="18"/>
            <w:szCs w:val="18"/>
          </w:rPr>
          <w:fldChar w:fldCharType="begin"/>
        </w:r>
        <w:r w:rsidRPr="003A2F56">
          <w:rPr>
            <w:rFonts w:ascii="Raleway" w:hAnsi="Raleway"/>
            <w:color w:val="3B3838" w:themeColor="background2" w:themeShade="40"/>
            <w:sz w:val="18"/>
            <w:szCs w:val="18"/>
          </w:rPr>
          <w:instrText>PAGE   \* MERGEFORMAT</w:instrText>
        </w:r>
        <w:r w:rsidRPr="003A2F56">
          <w:rPr>
            <w:rFonts w:ascii="Raleway" w:hAnsi="Raleway"/>
            <w:color w:val="3B3838" w:themeColor="background2" w:themeShade="40"/>
            <w:sz w:val="18"/>
            <w:szCs w:val="18"/>
          </w:rPr>
          <w:fldChar w:fldCharType="separate"/>
        </w:r>
        <w:r w:rsidR="0031014B" w:rsidRPr="0031014B">
          <w:rPr>
            <w:rFonts w:ascii="Raleway" w:hAnsi="Raleway"/>
            <w:noProof/>
            <w:color w:val="3B3838" w:themeColor="background2" w:themeShade="40"/>
            <w:sz w:val="18"/>
            <w:szCs w:val="18"/>
            <w:lang w:val="es-ES"/>
          </w:rPr>
          <w:t>5</w:t>
        </w:r>
        <w:r w:rsidRPr="003A2F56">
          <w:rPr>
            <w:rFonts w:ascii="Raleway" w:hAnsi="Raleway"/>
            <w:color w:val="3B3838" w:themeColor="background2" w:themeShade="4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93A07" w14:textId="77777777" w:rsidR="00337B71" w:rsidRDefault="00337B71" w:rsidP="00692BD5">
      <w:r>
        <w:separator/>
      </w:r>
    </w:p>
  </w:footnote>
  <w:footnote w:type="continuationSeparator" w:id="0">
    <w:p w14:paraId="31568297" w14:textId="77777777" w:rsidR="00337B71" w:rsidRDefault="00337B71" w:rsidP="0069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D32D" w14:textId="77777777" w:rsidR="00A8616D" w:rsidRDefault="00A8616D" w:rsidP="00ED5389">
    <w:pPr>
      <w:jc w:val="right"/>
      <w:rPr>
        <w:lang w:val="es-MX"/>
      </w:rPr>
    </w:pPr>
    <w:r>
      <w:rPr>
        <w:noProof/>
        <w:lang w:val="es-MX" w:eastAsia="es-MX"/>
      </w:rPr>
      <w:drawing>
        <wp:anchor distT="0" distB="0" distL="114300" distR="114300" simplePos="0" relativeHeight="251662336" behindDoc="0" locked="0" layoutInCell="1" allowOverlap="1" wp14:anchorId="68747592" wp14:editId="56CF5AD3">
          <wp:simplePos x="0" y="0"/>
          <wp:positionH relativeFrom="column">
            <wp:posOffset>0</wp:posOffset>
          </wp:positionH>
          <wp:positionV relativeFrom="paragraph">
            <wp:posOffset>188532</wp:posOffset>
          </wp:positionV>
          <wp:extent cx="1745672" cy="774606"/>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45672" cy="774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C5CC8" w14:textId="77777777" w:rsidR="00A8616D" w:rsidRDefault="00A8616D" w:rsidP="00ED5389">
    <w:pPr>
      <w:jc w:val="right"/>
      <w:rPr>
        <w:lang w:val="es-MX"/>
      </w:rPr>
    </w:pPr>
  </w:p>
  <w:p w14:paraId="2EA05307" w14:textId="77777777" w:rsidR="00A8616D" w:rsidRPr="00FB71A1" w:rsidRDefault="00A8616D" w:rsidP="00586FAD">
    <w:pPr>
      <w:jc w:val="right"/>
      <w:rPr>
        <w:rFonts w:ascii="Raleway SemiBold" w:hAnsi="Raleway SemiBold"/>
        <w:b/>
        <w:color w:val="3B3838" w:themeColor="background2" w:themeShade="40"/>
        <w:sz w:val="20"/>
        <w:szCs w:val="18"/>
        <w:lang w:val="es-ES"/>
      </w:rPr>
    </w:pPr>
    <w:r w:rsidRPr="00FB71A1">
      <w:rPr>
        <w:rFonts w:ascii="Raleway SemiBold" w:hAnsi="Raleway SemiBold"/>
        <w:b/>
        <w:color w:val="3B3838" w:themeColor="background2" w:themeShade="40"/>
        <w:sz w:val="20"/>
        <w:szCs w:val="18"/>
        <w:lang w:val="es-ES"/>
      </w:rPr>
      <w:t>FISCALÍA GENERAL DE LA REPÚBLICA</w:t>
    </w:r>
  </w:p>
  <w:p w14:paraId="579DFC5F" w14:textId="77777777" w:rsidR="00A8616D" w:rsidRPr="00FB71A1" w:rsidRDefault="00A8616D" w:rsidP="00586FAD">
    <w:pPr>
      <w:jc w:val="right"/>
      <w:rPr>
        <w:rFonts w:ascii="Raleway SemiBold" w:hAnsi="Raleway SemiBold"/>
        <w:b/>
        <w:color w:val="3B3838" w:themeColor="background2" w:themeShade="40"/>
        <w:sz w:val="20"/>
        <w:szCs w:val="18"/>
        <w:lang w:val="es-ES"/>
      </w:rPr>
    </w:pPr>
    <w:r w:rsidRPr="00FB71A1">
      <w:rPr>
        <w:rFonts w:ascii="Raleway SemiBold" w:hAnsi="Raleway SemiBold"/>
        <w:b/>
        <w:color w:val="3B3838" w:themeColor="background2" w:themeShade="40"/>
        <w:sz w:val="20"/>
        <w:szCs w:val="18"/>
        <w:lang w:val="es-ES"/>
      </w:rPr>
      <w:t>UNIDAD DE TRANSPARENCIA Y APERTURA GUBERNAMENTAL</w:t>
    </w:r>
  </w:p>
  <w:p w14:paraId="62E7B7A1" w14:textId="77777777" w:rsidR="00A8616D" w:rsidRDefault="00A8616D" w:rsidP="00586FAD">
    <w:pPr>
      <w:jc w:val="right"/>
      <w:rPr>
        <w:rFonts w:ascii="Raleway SemiBold" w:hAnsi="Raleway SemiBold"/>
        <w:b/>
        <w:sz w:val="20"/>
        <w:szCs w:val="18"/>
        <w:lang w:val="es-ES"/>
      </w:rPr>
    </w:pPr>
  </w:p>
  <w:p w14:paraId="6E7C83A3" w14:textId="77777777" w:rsidR="00A8616D" w:rsidRDefault="00A8616D" w:rsidP="00586FAD">
    <w:pPr>
      <w:jc w:val="right"/>
      <w:rPr>
        <w:rFonts w:ascii="Raleway SemiBold" w:hAnsi="Raleway SemiBold"/>
        <w:b/>
        <w:sz w:val="20"/>
        <w:szCs w:val="18"/>
        <w:lang w:val="es-ES"/>
      </w:rPr>
    </w:pPr>
  </w:p>
  <w:p w14:paraId="39D2F07D" w14:textId="77777777" w:rsidR="00A8616D" w:rsidRDefault="00A8616D" w:rsidP="00586FAD">
    <w:pPr>
      <w:jc w:val="right"/>
      <w:rPr>
        <w:rFonts w:ascii="Raleway SemiBold" w:hAnsi="Raleway SemiBold"/>
        <w:b/>
        <w:sz w:val="20"/>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891"/>
    <w:multiLevelType w:val="hybridMultilevel"/>
    <w:tmpl w:val="E9446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E1276E"/>
    <w:multiLevelType w:val="hybridMultilevel"/>
    <w:tmpl w:val="9D7AE9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03EF6"/>
    <w:multiLevelType w:val="hybridMultilevel"/>
    <w:tmpl w:val="50FC3A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834F0"/>
    <w:multiLevelType w:val="hybridMultilevel"/>
    <w:tmpl w:val="49906A74"/>
    <w:lvl w:ilvl="0" w:tplc="080A0001">
      <w:start w:val="1"/>
      <w:numFmt w:val="bullet"/>
      <w:lvlText w:val=""/>
      <w:lvlJc w:val="left"/>
      <w:pPr>
        <w:ind w:left="1515" w:hanging="360"/>
      </w:pPr>
      <w:rPr>
        <w:rFonts w:ascii="Symbol" w:hAnsi="Symbol"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4" w15:restartNumberingAfterBreak="0">
    <w:nsid w:val="1DE815C9"/>
    <w:multiLevelType w:val="hybridMultilevel"/>
    <w:tmpl w:val="195A15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0EF24D4"/>
    <w:multiLevelType w:val="hybridMultilevel"/>
    <w:tmpl w:val="3642E1CC"/>
    <w:lvl w:ilvl="0" w:tplc="5F8CD62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3053D23"/>
    <w:multiLevelType w:val="hybridMultilevel"/>
    <w:tmpl w:val="E9446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1210A"/>
    <w:multiLevelType w:val="hybridMultilevel"/>
    <w:tmpl w:val="84A2C4E8"/>
    <w:lvl w:ilvl="0" w:tplc="63C4DF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F6DC3"/>
    <w:multiLevelType w:val="hybridMultilevel"/>
    <w:tmpl w:val="543ABDA2"/>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2D6072D5"/>
    <w:multiLevelType w:val="hybridMultilevel"/>
    <w:tmpl w:val="A5DC9250"/>
    <w:lvl w:ilvl="0" w:tplc="A75885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2F370B"/>
    <w:multiLevelType w:val="hybridMultilevel"/>
    <w:tmpl w:val="CB0C19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E45E03"/>
    <w:multiLevelType w:val="hybridMultilevel"/>
    <w:tmpl w:val="F21828EE"/>
    <w:lvl w:ilvl="0" w:tplc="080A0001">
      <w:start w:val="1"/>
      <w:numFmt w:val="bullet"/>
      <w:lvlText w:val=""/>
      <w:lvlJc w:val="left"/>
      <w:pPr>
        <w:ind w:left="773" w:hanging="360"/>
      </w:pPr>
      <w:rPr>
        <w:rFonts w:ascii="Symbol" w:hAnsi="Symbol" w:hint="default"/>
      </w:r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12" w15:restartNumberingAfterBreak="0">
    <w:nsid w:val="36366233"/>
    <w:multiLevelType w:val="hybridMultilevel"/>
    <w:tmpl w:val="3796E4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BA4F14"/>
    <w:multiLevelType w:val="hybridMultilevel"/>
    <w:tmpl w:val="9E128984"/>
    <w:lvl w:ilvl="0" w:tplc="01465C30">
      <w:start w:val="1"/>
      <w:numFmt w:val="upperRoman"/>
      <w:lvlText w:val="%1."/>
      <w:lvlJc w:val="left"/>
      <w:pPr>
        <w:ind w:left="360" w:hanging="360"/>
      </w:pPr>
      <w:rPr>
        <w:rFonts w:ascii="Arial" w:hAnsi="Arial" w:cs="Arial" w:hint="default"/>
        <w:b/>
        <w:i w:val="0"/>
        <w:snapToGrid/>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F6657"/>
    <w:multiLevelType w:val="hybridMultilevel"/>
    <w:tmpl w:val="E97485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406A32"/>
    <w:multiLevelType w:val="hybridMultilevel"/>
    <w:tmpl w:val="23028ED6"/>
    <w:lvl w:ilvl="0" w:tplc="F50439DC">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80AB4"/>
    <w:multiLevelType w:val="hybridMultilevel"/>
    <w:tmpl w:val="FADEC3D4"/>
    <w:lvl w:ilvl="0" w:tplc="161ED680">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413C85"/>
    <w:multiLevelType w:val="hybridMultilevel"/>
    <w:tmpl w:val="D3A288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7B2C66"/>
    <w:multiLevelType w:val="hybridMultilevel"/>
    <w:tmpl w:val="90B4D17E"/>
    <w:lvl w:ilvl="0" w:tplc="57DAADD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167B0F"/>
    <w:multiLevelType w:val="hybridMultilevel"/>
    <w:tmpl w:val="C87CD02E"/>
    <w:lvl w:ilvl="0" w:tplc="8FAAF800">
      <w:start w:val="200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1B2C3C"/>
    <w:multiLevelType w:val="hybridMultilevel"/>
    <w:tmpl w:val="E9446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A304DF"/>
    <w:multiLevelType w:val="hybridMultilevel"/>
    <w:tmpl w:val="7BAAC7CC"/>
    <w:lvl w:ilvl="0" w:tplc="A45E230A">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2874B5"/>
    <w:multiLevelType w:val="hybridMultilevel"/>
    <w:tmpl w:val="A5DC9250"/>
    <w:lvl w:ilvl="0" w:tplc="A75885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1D7A2F"/>
    <w:multiLevelType w:val="hybridMultilevel"/>
    <w:tmpl w:val="A5DC9250"/>
    <w:lvl w:ilvl="0" w:tplc="A75885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92737B"/>
    <w:multiLevelType w:val="hybridMultilevel"/>
    <w:tmpl w:val="3FEE07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AD1426"/>
    <w:multiLevelType w:val="hybridMultilevel"/>
    <w:tmpl w:val="597A11A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BF6097"/>
    <w:multiLevelType w:val="hybridMultilevel"/>
    <w:tmpl w:val="12FCB1EC"/>
    <w:lvl w:ilvl="0" w:tplc="5FBAF3D0">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E172BD4"/>
    <w:multiLevelType w:val="hybridMultilevel"/>
    <w:tmpl w:val="04E40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4D6162"/>
    <w:multiLevelType w:val="hybridMultilevel"/>
    <w:tmpl w:val="B412ADC6"/>
    <w:lvl w:ilvl="0" w:tplc="F9664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161E56"/>
    <w:multiLevelType w:val="hybridMultilevel"/>
    <w:tmpl w:val="FC7602F2"/>
    <w:lvl w:ilvl="0" w:tplc="D236E4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0A106C"/>
    <w:multiLevelType w:val="hybridMultilevel"/>
    <w:tmpl w:val="809676A6"/>
    <w:lvl w:ilvl="0" w:tplc="022CA4B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FC3F0D"/>
    <w:multiLevelType w:val="hybridMultilevel"/>
    <w:tmpl w:val="F7E8028A"/>
    <w:lvl w:ilvl="0" w:tplc="065EAF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941DC8"/>
    <w:multiLevelType w:val="hybridMultilevel"/>
    <w:tmpl w:val="27148C9E"/>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4"/>
  </w:num>
  <w:num w:numId="3">
    <w:abstractNumId w:val="28"/>
  </w:num>
  <w:num w:numId="4">
    <w:abstractNumId w:val="27"/>
  </w:num>
  <w:num w:numId="5">
    <w:abstractNumId w:val="11"/>
  </w:num>
  <w:num w:numId="6">
    <w:abstractNumId w:val="2"/>
  </w:num>
  <w:num w:numId="7">
    <w:abstractNumId w:val="32"/>
  </w:num>
  <w:num w:numId="8">
    <w:abstractNumId w:val="17"/>
  </w:num>
  <w:num w:numId="9">
    <w:abstractNumId w:val="12"/>
  </w:num>
  <w:num w:numId="10">
    <w:abstractNumId w:val="25"/>
  </w:num>
  <w:num w:numId="11">
    <w:abstractNumId w:val="8"/>
  </w:num>
  <w:num w:numId="12">
    <w:abstractNumId w:val="10"/>
  </w:num>
  <w:num w:numId="13">
    <w:abstractNumId w:val="19"/>
  </w:num>
  <w:num w:numId="14">
    <w:abstractNumId w:val="26"/>
  </w:num>
  <w:num w:numId="15">
    <w:abstractNumId w:val="24"/>
  </w:num>
  <w:num w:numId="16">
    <w:abstractNumId w:val="6"/>
  </w:num>
  <w:num w:numId="17">
    <w:abstractNumId w:val="20"/>
  </w:num>
  <w:num w:numId="18">
    <w:abstractNumId w:val="15"/>
  </w:num>
  <w:num w:numId="19">
    <w:abstractNumId w:val="18"/>
  </w:num>
  <w:num w:numId="20">
    <w:abstractNumId w:val="30"/>
  </w:num>
  <w:num w:numId="21">
    <w:abstractNumId w:val="29"/>
  </w:num>
  <w:num w:numId="22">
    <w:abstractNumId w:val="0"/>
  </w:num>
  <w:num w:numId="23">
    <w:abstractNumId w:val="7"/>
  </w:num>
  <w:num w:numId="24">
    <w:abstractNumId w:val="31"/>
  </w:num>
  <w:num w:numId="25">
    <w:abstractNumId w:val="21"/>
  </w:num>
  <w:num w:numId="26">
    <w:abstractNumId w:val="1"/>
  </w:num>
  <w:num w:numId="27">
    <w:abstractNumId w:val="22"/>
  </w:num>
  <w:num w:numId="28">
    <w:abstractNumId w:val="9"/>
  </w:num>
  <w:num w:numId="29">
    <w:abstractNumId w:val="23"/>
  </w:num>
  <w:num w:numId="30">
    <w:abstractNumId w:val="5"/>
  </w:num>
  <w:num w:numId="31">
    <w:abstractNumId w:val="16"/>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D5"/>
    <w:rsid w:val="00001519"/>
    <w:rsid w:val="00005DE4"/>
    <w:rsid w:val="00006AE7"/>
    <w:rsid w:val="0001088A"/>
    <w:rsid w:val="00012068"/>
    <w:rsid w:val="00012A2B"/>
    <w:rsid w:val="00014510"/>
    <w:rsid w:val="00016118"/>
    <w:rsid w:val="00016A4C"/>
    <w:rsid w:val="00026297"/>
    <w:rsid w:val="00030B65"/>
    <w:rsid w:val="00031FAD"/>
    <w:rsid w:val="00040B35"/>
    <w:rsid w:val="00041043"/>
    <w:rsid w:val="0004105C"/>
    <w:rsid w:val="00044E4A"/>
    <w:rsid w:val="00051C49"/>
    <w:rsid w:val="000528E5"/>
    <w:rsid w:val="000534CB"/>
    <w:rsid w:val="000573ED"/>
    <w:rsid w:val="00061D85"/>
    <w:rsid w:val="00062AC7"/>
    <w:rsid w:val="0007396C"/>
    <w:rsid w:val="00073EDB"/>
    <w:rsid w:val="000742E6"/>
    <w:rsid w:val="0007435B"/>
    <w:rsid w:val="00076ACC"/>
    <w:rsid w:val="00077165"/>
    <w:rsid w:val="000773D4"/>
    <w:rsid w:val="000806EE"/>
    <w:rsid w:val="000828E2"/>
    <w:rsid w:val="000833D2"/>
    <w:rsid w:val="00083A41"/>
    <w:rsid w:val="00083AE1"/>
    <w:rsid w:val="00085307"/>
    <w:rsid w:val="00087873"/>
    <w:rsid w:val="000913C9"/>
    <w:rsid w:val="00093A2A"/>
    <w:rsid w:val="000940C1"/>
    <w:rsid w:val="00094EFC"/>
    <w:rsid w:val="000951D3"/>
    <w:rsid w:val="000952EA"/>
    <w:rsid w:val="00096457"/>
    <w:rsid w:val="00096737"/>
    <w:rsid w:val="000A0F89"/>
    <w:rsid w:val="000A3DC9"/>
    <w:rsid w:val="000A53ED"/>
    <w:rsid w:val="000A69C5"/>
    <w:rsid w:val="000B003F"/>
    <w:rsid w:val="000B3530"/>
    <w:rsid w:val="000B49B1"/>
    <w:rsid w:val="000B4C7C"/>
    <w:rsid w:val="000B7D3B"/>
    <w:rsid w:val="000C29A4"/>
    <w:rsid w:val="000C578C"/>
    <w:rsid w:val="000D0FAC"/>
    <w:rsid w:val="000D1630"/>
    <w:rsid w:val="000D2FDF"/>
    <w:rsid w:val="000D3599"/>
    <w:rsid w:val="000D46C7"/>
    <w:rsid w:val="000D4982"/>
    <w:rsid w:val="000D79DE"/>
    <w:rsid w:val="000E168A"/>
    <w:rsid w:val="000E290F"/>
    <w:rsid w:val="000E4943"/>
    <w:rsid w:val="000E6660"/>
    <w:rsid w:val="000E66B5"/>
    <w:rsid w:val="000F14A3"/>
    <w:rsid w:val="000F42E4"/>
    <w:rsid w:val="000F5E56"/>
    <w:rsid w:val="00104A1A"/>
    <w:rsid w:val="00106657"/>
    <w:rsid w:val="00111646"/>
    <w:rsid w:val="00112C14"/>
    <w:rsid w:val="0012024B"/>
    <w:rsid w:val="00120DFA"/>
    <w:rsid w:val="001217E8"/>
    <w:rsid w:val="00123384"/>
    <w:rsid w:val="001319FB"/>
    <w:rsid w:val="00132393"/>
    <w:rsid w:val="00132842"/>
    <w:rsid w:val="00133C55"/>
    <w:rsid w:val="00135F70"/>
    <w:rsid w:val="001409BC"/>
    <w:rsid w:val="00140ACE"/>
    <w:rsid w:val="001446FB"/>
    <w:rsid w:val="00145651"/>
    <w:rsid w:val="00146A3A"/>
    <w:rsid w:val="00150AFB"/>
    <w:rsid w:val="00150E28"/>
    <w:rsid w:val="00153470"/>
    <w:rsid w:val="00154D78"/>
    <w:rsid w:val="001552E1"/>
    <w:rsid w:val="00156903"/>
    <w:rsid w:val="0016163D"/>
    <w:rsid w:val="001619AD"/>
    <w:rsid w:val="0016448D"/>
    <w:rsid w:val="00165789"/>
    <w:rsid w:val="00170EB2"/>
    <w:rsid w:val="001726BA"/>
    <w:rsid w:val="00174F01"/>
    <w:rsid w:val="0018580F"/>
    <w:rsid w:val="00186B47"/>
    <w:rsid w:val="001909BB"/>
    <w:rsid w:val="001928CC"/>
    <w:rsid w:val="001944EA"/>
    <w:rsid w:val="00194DAA"/>
    <w:rsid w:val="001A68BD"/>
    <w:rsid w:val="001B3D12"/>
    <w:rsid w:val="001C256D"/>
    <w:rsid w:val="001C7C23"/>
    <w:rsid w:val="001D191D"/>
    <w:rsid w:val="001D4CCF"/>
    <w:rsid w:val="001E1258"/>
    <w:rsid w:val="001E1F02"/>
    <w:rsid w:val="001E7227"/>
    <w:rsid w:val="001F46C9"/>
    <w:rsid w:val="00202FC6"/>
    <w:rsid w:val="002052FA"/>
    <w:rsid w:val="0020546B"/>
    <w:rsid w:val="00206258"/>
    <w:rsid w:val="002064FC"/>
    <w:rsid w:val="0021267D"/>
    <w:rsid w:val="00212B1E"/>
    <w:rsid w:val="00212FB0"/>
    <w:rsid w:val="002150A1"/>
    <w:rsid w:val="00215BB7"/>
    <w:rsid w:val="00221303"/>
    <w:rsid w:val="00224B94"/>
    <w:rsid w:val="00236C4C"/>
    <w:rsid w:val="002378E1"/>
    <w:rsid w:val="00247C2C"/>
    <w:rsid w:val="002504EC"/>
    <w:rsid w:val="00251267"/>
    <w:rsid w:val="00251CCA"/>
    <w:rsid w:val="002522F8"/>
    <w:rsid w:val="00253852"/>
    <w:rsid w:val="0025657B"/>
    <w:rsid w:val="00256F6D"/>
    <w:rsid w:val="00262DF0"/>
    <w:rsid w:val="0026374D"/>
    <w:rsid w:val="00266FE1"/>
    <w:rsid w:val="002701FB"/>
    <w:rsid w:val="0027037E"/>
    <w:rsid w:val="002810F5"/>
    <w:rsid w:val="002829EF"/>
    <w:rsid w:val="0028401A"/>
    <w:rsid w:val="00286247"/>
    <w:rsid w:val="00287588"/>
    <w:rsid w:val="00292C02"/>
    <w:rsid w:val="00293523"/>
    <w:rsid w:val="00295324"/>
    <w:rsid w:val="00297070"/>
    <w:rsid w:val="0029749E"/>
    <w:rsid w:val="0029780A"/>
    <w:rsid w:val="002A1D1B"/>
    <w:rsid w:val="002A43F6"/>
    <w:rsid w:val="002A6CDC"/>
    <w:rsid w:val="002B1F69"/>
    <w:rsid w:val="002B2419"/>
    <w:rsid w:val="002B3201"/>
    <w:rsid w:val="002B5E05"/>
    <w:rsid w:val="002B77F0"/>
    <w:rsid w:val="002C716B"/>
    <w:rsid w:val="002C7508"/>
    <w:rsid w:val="002D05B7"/>
    <w:rsid w:val="002D48BE"/>
    <w:rsid w:val="002E043D"/>
    <w:rsid w:val="002E502E"/>
    <w:rsid w:val="002E6B63"/>
    <w:rsid w:val="00302ECB"/>
    <w:rsid w:val="00303CC0"/>
    <w:rsid w:val="00305C5E"/>
    <w:rsid w:val="0031014B"/>
    <w:rsid w:val="0031262E"/>
    <w:rsid w:val="003130B6"/>
    <w:rsid w:val="00314A2B"/>
    <w:rsid w:val="003208A9"/>
    <w:rsid w:val="00320934"/>
    <w:rsid w:val="003224BA"/>
    <w:rsid w:val="00322B76"/>
    <w:rsid w:val="003238FB"/>
    <w:rsid w:val="00324080"/>
    <w:rsid w:val="00335FF1"/>
    <w:rsid w:val="00336B4F"/>
    <w:rsid w:val="00337B71"/>
    <w:rsid w:val="003404EB"/>
    <w:rsid w:val="0034083D"/>
    <w:rsid w:val="00342A01"/>
    <w:rsid w:val="00343313"/>
    <w:rsid w:val="00346DFC"/>
    <w:rsid w:val="003478F6"/>
    <w:rsid w:val="00354CAA"/>
    <w:rsid w:val="0035657B"/>
    <w:rsid w:val="00362C07"/>
    <w:rsid w:val="00362F52"/>
    <w:rsid w:val="00367799"/>
    <w:rsid w:val="00371871"/>
    <w:rsid w:val="00373572"/>
    <w:rsid w:val="00373A7B"/>
    <w:rsid w:val="00375079"/>
    <w:rsid w:val="00377152"/>
    <w:rsid w:val="0037732E"/>
    <w:rsid w:val="00390421"/>
    <w:rsid w:val="00390535"/>
    <w:rsid w:val="0039054D"/>
    <w:rsid w:val="00391444"/>
    <w:rsid w:val="00391BC9"/>
    <w:rsid w:val="003A03C9"/>
    <w:rsid w:val="003A1032"/>
    <w:rsid w:val="003A11F6"/>
    <w:rsid w:val="003A2F56"/>
    <w:rsid w:val="003A332A"/>
    <w:rsid w:val="003A371C"/>
    <w:rsid w:val="003B0337"/>
    <w:rsid w:val="003B3C3A"/>
    <w:rsid w:val="003B6F5F"/>
    <w:rsid w:val="003C2BE4"/>
    <w:rsid w:val="003C5B42"/>
    <w:rsid w:val="003C6718"/>
    <w:rsid w:val="003D5E8B"/>
    <w:rsid w:val="003E238A"/>
    <w:rsid w:val="003E567E"/>
    <w:rsid w:val="003E6F45"/>
    <w:rsid w:val="003F1C70"/>
    <w:rsid w:val="003F35CC"/>
    <w:rsid w:val="003F700C"/>
    <w:rsid w:val="003F7110"/>
    <w:rsid w:val="003F76A2"/>
    <w:rsid w:val="00402D27"/>
    <w:rsid w:val="00403469"/>
    <w:rsid w:val="00403E8E"/>
    <w:rsid w:val="0040483F"/>
    <w:rsid w:val="00405736"/>
    <w:rsid w:val="00405925"/>
    <w:rsid w:val="00405DF7"/>
    <w:rsid w:val="00405FF6"/>
    <w:rsid w:val="004076A5"/>
    <w:rsid w:val="00411F1D"/>
    <w:rsid w:val="00415371"/>
    <w:rsid w:val="0041790E"/>
    <w:rsid w:val="00422B6F"/>
    <w:rsid w:val="00437A69"/>
    <w:rsid w:val="00441272"/>
    <w:rsid w:val="004416DA"/>
    <w:rsid w:val="00441828"/>
    <w:rsid w:val="00445FCE"/>
    <w:rsid w:val="004471B6"/>
    <w:rsid w:val="00450D57"/>
    <w:rsid w:val="00453816"/>
    <w:rsid w:val="00456674"/>
    <w:rsid w:val="00463FAD"/>
    <w:rsid w:val="0046465B"/>
    <w:rsid w:val="00464B4B"/>
    <w:rsid w:val="00466384"/>
    <w:rsid w:val="00470D8D"/>
    <w:rsid w:val="00472A14"/>
    <w:rsid w:val="00474EC7"/>
    <w:rsid w:val="00480AF7"/>
    <w:rsid w:val="0048306D"/>
    <w:rsid w:val="00483A27"/>
    <w:rsid w:val="00485324"/>
    <w:rsid w:val="00485F9A"/>
    <w:rsid w:val="00486C81"/>
    <w:rsid w:val="00487EB5"/>
    <w:rsid w:val="004928F5"/>
    <w:rsid w:val="00495D84"/>
    <w:rsid w:val="004A11E4"/>
    <w:rsid w:val="004A2CF8"/>
    <w:rsid w:val="004A3597"/>
    <w:rsid w:val="004A379F"/>
    <w:rsid w:val="004A619D"/>
    <w:rsid w:val="004A7736"/>
    <w:rsid w:val="004B340A"/>
    <w:rsid w:val="004C3DAE"/>
    <w:rsid w:val="004C796D"/>
    <w:rsid w:val="004C7DBA"/>
    <w:rsid w:val="004D1B25"/>
    <w:rsid w:val="004F64D7"/>
    <w:rsid w:val="0050357E"/>
    <w:rsid w:val="005055C0"/>
    <w:rsid w:val="005065BB"/>
    <w:rsid w:val="00513B16"/>
    <w:rsid w:val="00515413"/>
    <w:rsid w:val="00515511"/>
    <w:rsid w:val="005167D0"/>
    <w:rsid w:val="00516B4F"/>
    <w:rsid w:val="005216A8"/>
    <w:rsid w:val="0052454D"/>
    <w:rsid w:val="00524A6C"/>
    <w:rsid w:val="00532759"/>
    <w:rsid w:val="00532E66"/>
    <w:rsid w:val="00534238"/>
    <w:rsid w:val="00534781"/>
    <w:rsid w:val="00535567"/>
    <w:rsid w:val="00536FFA"/>
    <w:rsid w:val="00537CAA"/>
    <w:rsid w:val="005419FB"/>
    <w:rsid w:val="00545560"/>
    <w:rsid w:val="00546DC4"/>
    <w:rsid w:val="00550296"/>
    <w:rsid w:val="0055092A"/>
    <w:rsid w:val="00556CE2"/>
    <w:rsid w:val="00564266"/>
    <w:rsid w:val="00571AE1"/>
    <w:rsid w:val="005727FB"/>
    <w:rsid w:val="0057366F"/>
    <w:rsid w:val="00573853"/>
    <w:rsid w:val="005741B1"/>
    <w:rsid w:val="00577FC5"/>
    <w:rsid w:val="00586FAD"/>
    <w:rsid w:val="00587034"/>
    <w:rsid w:val="005908D6"/>
    <w:rsid w:val="005908F2"/>
    <w:rsid w:val="00590E14"/>
    <w:rsid w:val="00591035"/>
    <w:rsid w:val="005A1965"/>
    <w:rsid w:val="005A21F9"/>
    <w:rsid w:val="005A73A3"/>
    <w:rsid w:val="005B13A3"/>
    <w:rsid w:val="005B149B"/>
    <w:rsid w:val="005B179A"/>
    <w:rsid w:val="005B2923"/>
    <w:rsid w:val="005C56C6"/>
    <w:rsid w:val="005D0FE9"/>
    <w:rsid w:val="005D154B"/>
    <w:rsid w:val="005D4878"/>
    <w:rsid w:val="005D5578"/>
    <w:rsid w:val="005D6642"/>
    <w:rsid w:val="005E20C2"/>
    <w:rsid w:val="005E28BB"/>
    <w:rsid w:val="005E2A22"/>
    <w:rsid w:val="005E2F2D"/>
    <w:rsid w:val="005E30CE"/>
    <w:rsid w:val="005E36FA"/>
    <w:rsid w:val="005E5EB9"/>
    <w:rsid w:val="005E6B0E"/>
    <w:rsid w:val="005F2960"/>
    <w:rsid w:val="005F4C64"/>
    <w:rsid w:val="00600497"/>
    <w:rsid w:val="006020D5"/>
    <w:rsid w:val="006023DB"/>
    <w:rsid w:val="00603381"/>
    <w:rsid w:val="00603D76"/>
    <w:rsid w:val="006072F7"/>
    <w:rsid w:val="0061080D"/>
    <w:rsid w:val="006114E5"/>
    <w:rsid w:val="006116E8"/>
    <w:rsid w:val="00611FAE"/>
    <w:rsid w:val="0061315B"/>
    <w:rsid w:val="0061343C"/>
    <w:rsid w:val="006148D9"/>
    <w:rsid w:val="006150BE"/>
    <w:rsid w:val="00615ACA"/>
    <w:rsid w:val="00625529"/>
    <w:rsid w:val="00626059"/>
    <w:rsid w:val="00627889"/>
    <w:rsid w:val="006319FE"/>
    <w:rsid w:val="006319FF"/>
    <w:rsid w:val="00632217"/>
    <w:rsid w:val="00635EFB"/>
    <w:rsid w:val="00642FB4"/>
    <w:rsid w:val="00645C0D"/>
    <w:rsid w:val="00645F1C"/>
    <w:rsid w:val="00650318"/>
    <w:rsid w:val="00650EBD"/>
    <w:rsid w:val="006529CB"/>
    <w:rsid w:val="0066376B"/>
    <w:rsid w:val="006658AD"/>
    <w:rsid w:val="006671B3"/>
    <w:rsid w:val="00667EF9"/>
    <w:rsid w:val="00671386"/>
    <w:rsid w:val="00674804"/>
    <w:rsid w:val="00675BC4"/>
    <w:rsid w:val="00677A8D"/>
    <w:rsid w:val="006836BC"/>
    <w:rsid w:val="00683759"/>
    <w:rsid w:val="00685066"/>
    <w:rsid w:val="00686839"/>
    <w:rsid w:val="00687005"/>
    <w:rsid w:val="0068781E"/>
    <w:rsid w:val="00687A2C"/>
    <w:rsid w:val="00692BD5"/>
    <w:rsid w:val="00692C7F"/>
    <w:rsid w:val="006A027A"/>
    <w:rsid w:val="006A27E3"/>
    <w:rsid w:val="006A3B5A"/>
    <w:rsid w:val="006A796B"/>
    <w:rsid w:val="006B0184"/>
    <w:rsid w:val="006B147D"/>
    <w:rsid w:val="006B15E0"/>
    <w:rsid w:val="006B5C4B"/>
    <w:rsid w:val="006B6CA2"/>
    <w:rsid w:val="006B7BC2"/>
    <w:rsid w:val="006C2954"/>
    <w:rsid w:val="006C2989"/>
    <w:rsid w:val="006C38B7"/>
    <w:rsid w:val="006C7B4D"/>
    <w:rsid w:val="006D0E73"/>
    <w:rsid w:val="006D17EB"/>
    <w:rsid w:val="006D406B"/>
    <w:rsid w:val="006D749B"/>
    <w:rsid w:val="006E2BD0"/>
    <w:rsid w:val="006E55A3"/>
    <w:rsid w:val="006F14E8"/>
    <w:rsid w:val="006F1719"/>
    <w:rsid w:val="006F46C7"/>
    <w:rsid w:val="007013A6"/>
    <w:rsid w:val="00710174"/>
    <w:rsid w:val="0071423A"/>
    <w:rsid w:val="00714C9E"/>
    <w:rsid w:val="00721158"/>
    <w:rsid w:val="0072509E"/>
    <w:rsid w:val="00726A7E"/>
    <w:rsid w:val="00726F58"/>
    <w:rsid w:val="0072764A"/>
    <w:rsid w:val="0073047D"/>
    <w:rsid w:val="00731B2D"/>
    <w:rsid w:val="007322D6"/>
    <w:rsid w:val="00735AE0"/>
    <w:rsid w:val="007365D0"/>
    <w:rsid w:val="00741B0D"/>
    <w:rsid w:val="00742438"/>
    <w:rsid w:val="00743290"/>
    <w:rsid w:val="00746842"/>
    <w:rsid w:val="00747C35"/>
    <w:rsid w:val="007512EE"/>
    <w:rsid w:val="00751A07"/>
    <w:rsid w:val="00753760"/>
    <w:rsid w:val="00757E52"/>
    <w:rsid w:val="0076233C"/>
    <w:rsid w:val="00762948"/>
    <w:rsid w:val="00763D25"/>
    <w:rsid w:val="007643F4"/>
    <w:rsid w:val="00764FE7"/>
    <w:rsid w:val="00770FD9"/>
    <w:rsid w:val="00772B96"/>
    <w:rsid w:val="007771B1"/>
    <w:rsid w:val="0077786D"/>
    <w:rsid w:val="00782AF7"/>
    <w:rsid w:val="0078336D"/>
    <w:rsid w:val="00784EB9"/>
    <w:rsid w:val="0079026E"/>
    <w:rsid w:val="0079122A"/>
    <w:rsid w:val="007914B6"/>
    <w:rsid w:val="00792995"/>
    <w:rsid w:val="00794DC9"/>
    <w:rsid w:val="007A4C43"/>
    <w:rsid w:val="007A52F4"/>
    <w:rsid w:val="007A570A"/>
    <w:rsid w:val="007A5B4C"/>
    <w:rsid w:val="007B3FE3"/>
    <w:rsid w:val="007C0CD7"/>
    <w:rsid w:val="007C0D07"/>
    <w:rsid w:val="007C0F35"/>
    <w:rsid w:val="007C3B99"/>
    <w:rsid w:val="007C4258"/>
    <w:rsid w:val="007C7859"/>
    <w:rsid w:val="007D1602"/>
    <w:rsid w:val="007D327F"/>
    <w:rsid w:val="007D47DA"/>
    <w:rsid w:val="007D5FD9"/>
    <w:rsid w:val="007D71EE"/>
    <w:rsid w:val="007E1CCA"/>
    <w:rsid w:val="007E672B"/>
    <w:rsid w:val="007F2BFC"/>
    <w:rsid w:val="007F529B"/>
    <w:rsid w:val="0080341F"/>
    <w:rsid w:val="00803F8B"/>
    <w:rsid w:val="00807547"/>
    <w:rsid w:val="00811AAB"/>
    <w:rsid w:val="00814D32"/>
    <w:rsid w:val="00814E72"/>
    <w:rsid w:val="00815B34"/>
    <w:rsid w:val="008160B4"/>
    <w:rsid w:val="00822719"/>
    <w:rsid w:val="00825C25"/>
    <w:rsid w:val="00826432"/>
    <w:rsid w:val="0083007D"/>
    <w:rsid w:val="00831860"/>
    <w:rsid w:val="00832084"/>
    <w:rsid w:val="0083428E"/>
    <w:rsid w:val="00835B51"/>
    <w:rsid w:val="00841C00"/>
    <w:rsid w:val="00844397"/>
    <w:rsid w:val="008446E1"/>
    <w:rsid w:val="00846AFD"/>
    <w:rsid w:val="00846BA6"/>
    <w:rsid w:val="0085249C"/>
    <w:rsid w:val="008546BA"/>
    <w:rsid w:val="0085478C"/>
    <w:rsid w:val="00856111"/>
    <w:rsid w:val="00863950"/>
    <w:rsid w:val="008646C6"/>
    <w:rsid w:val="00865466"/>
    <w:rsid w:val="0086789C"/>
    <w:rsid w:val="00870C1B"/>
    <w:rsid w:val="00870D77"/>
    <w:rsid w:val="00871238"/>
    <w:rsid w:val="00877223"/>
    <w:rsid w:val="00884E56"/>
    <w:rsid w:val="008878F0"/>
    <w:rsid w:val="00891F61"/>
    <w:rsid w:val="00896154"/>
    <w:rsid w:val="008A1CF1"/>
    <w:rsid w:val="008A4666"/>
    <w:rsid w:val="008A593F"/>
    <w:rsid w:val="008B102E"/>
    <w:rsid w:val="008B5C88"/>
    <w:rsid w:val="008C0C15"/>
    <w:rsid w:val="008C1F53"/>
    <w:rsid w:val="008C3A7E"/>
    <w:rsid w:val="008C518D"/>
    <w:rsid w:val="008D26AD"/>
    <w:rsid w:val="008D6AAF"/>
    <w:rsid w:val="008E0E72"/>
    <w:rsid w:val="008E291A"/>
    <w:rsid w:val="008E51CE"/>
    <w:rsid w:val="008E688E"/>
    <w:rsid w:val="008E6FA3"/>
    <w:rsid w:val="008E709D"/>
    <w:rsid w:val="008F4116"/>
    <w:rsid w:val="008F41C5"/>
    <w:rsid w:val="008F4353"/>
    <w:rsid w:val="00900D21"/>
    <w:rsid w:val="009019F7"/>
    <w:rsid w:val="0090346A"/>
    <w:rsid w:val="009042C1"/>
    <w:rsid w:val="009313CD"/>
    <w:rsid w:val="00931D3D"/>
    <w:rsid w:val="0093253A"/>
    <w:rsid w:val="009333D4"/>
    <w:rsid w:val="009334B4"/>
    <w:rsid w:val="009337E9"/>
    <w:rsid w:val="009342EC"/>
    <w:rsid w:val="009343BB"/>
    <w:rsid w:val="009359F3"/>
    <w:rsid w:val="00935B17"/>
    <w:rsid w:val="00935C8F"/>
    <w:rsid w:val="009432BF"/>
    <w:rsid w:val="009463D3"/>
    <w:rsid w:val="00947E14"/>
    <w:rsid w:val="009528DA"/>
    <w:rsid w:val="00954769"/>
    <w:rsid w:val="009556EE"/>
    <w:rsid w:val="009605D6"/>
    <w:rsid w:val="009638A7"/>
    <w:rsid w:val="00963DCB"/>
    <w:rsid w:val="00970041"/>
    <w:rsid w:val="009710D2"/>
    <w:rsid w:val="00971602"/>
    <w:rsid w:val="00971CA3"/>
    <w:rsid w:val="009720BD"/>
    <w:rsid w:val="00972A6B"/>
    <w:rsid w:val="009734B8"/>
    <w:rsid w:val="009803A3"/>
    <w:rsid w:val="00990262"/>
    <w:rsid w:val="00990FBB"/>
    <w:rsid w:val="009930ED"/>
    <w:rsid w:val="00996B5B"/>
    <w:rsid w:val="009A0953"/>
    <w:rsid w:val="009A0A4C"/>
    <w:rsid w:val="009A399B"/>
    <w:rsid w:val="009A7720"/>
    <w:rsid w:val="009B071C"/>
    <w:rsid w:val="009B4817"/>
    <w:rsid w:val="009B4FA5"/>
    <w:rsid w:val="009B56CF"/>
    <w:rsid w:val="009B5FC7"/>
    <w:rsid w:val="009B69D3"/>
    <w:rsid w:val="009B727B"/>
    <w:rsid w:val="009C099E"/>
    <w:rsid w:val="009C5196"/>
    <w:rsid w:val="009C5932"/>
    <w:rsid w:val="009C59A2"/>
    <w:rsid w:val="009D1A92"/>
    <w:rsid w:val="009D2375"/>
    <w:rsid w:val="009D2DFF"/>
    <w:rsid w:val="009D365D"/>
    <w:rsid w:val="009D5A2A"/>
    <w:rsid w:val="009D5B64"/>
    <w:rsid w:val="009D7BA7"/>
    <w:rsid w:val="009E742A"/>
    <w:rsid w:val="009E7FFC"/>
    <w:rsid w:val="009F196E"/>
    <w:rsid w:val="009F3B11"/>
    <w:rsid w:val="009F635C"/>
    <w:rsid w:val="009F7D82"/>
    <w:rsid w:val="00A01DAA"/>
    <w:rsid w:val="00A031B2"/>
    <w:rsid w:val="00A03965"/>
    <w:rsid w:val="00A07B19"/>
    <w:rsid w:val="00A10769"/>
    <w:rsid w:val="00A15FE1"/>
    <w:rsid w:val="00A16FF8"/>
    <w:rsid w:val="00A244E6"/>
    <w:rsid w:val="00A24876"/>
    <w:rsid w:val="00A256D0"/>
    <w:rsid w:val="00A25E1C"/>
    <w:rsid w:val="00A260D8"/>
    <w:rsid w:val="00A3013E"/>
    <w:rsid w:val="00A36FBA"/>
    <w:rsid w:val="00A40A9C"/>
    <w:rsid w:val="00A42F31"/>
    <w:rsid w:val="00A42FB6"/>
    <w:rsid w:val="00A50D2C"/>
    <w:rsid w:val="00A51D24"/>
    <w:rsid w:val="00A52862"/>
    <w:rsid w:val="00A53270"/>
    <w:rsid w:val="00A54343"/>
    <w:rsid w:val="00A56ADF"/>
    <w:rsid w:val="00A60EEF"/>
    <w:rsid w:val="00A61271"/>
    <w:rsid w:val="00A61E44"/>
    <w:rsid w:val="00A6203E"/>
    <w:rsid w:val="00A63A14"/>
    <w:rsid w:val="00A669CA"/>
    <w:rsid w:val="00A71A83"/>
    <w:rsid w:val="00A7370D"/>
    <w:rsid w:val="00A7570F"/>
    <w:rsid w:val="00A80EF7"/>
    <w:rsid w:val="00A828F9"/>
    <w:rsid w:val="00A8419A"/>
    <w:rsid w:val="00A8616D"/>
    <w:rsid w:val="00A871D4"/>
    <w:rsid w:val="00A9143D"/>
    <w:rsid w:val="00A92F4D"/>
    <w:rsid w:val="00A941B7"/>
    <w:rsid w:val="00A9470C"/>
    <w:rsid w:val="00AA1EE4"/>
    <w:rsid w:val="00AA1EE8"/>
    <w:rsid w:val="00AA22D3"/>
    <w:rsid w:val="00AA2595"/>
    <w:rsid w:val="00AA274C"/>
    <w:rsid w:val="00AA7FB4"/>
    <w:rsid w:val="00AB30D9"/>
    <w:rsid w:val="00AB3837"/>
    <w:rsid w:val="00AB4867"/>
    <w:rsid w:val="00AB66C4"/>
    <w:rsid w:val="00AC139F"/>
    <w:rsid w:val="00AC1BCE"/>
    <w:rsid w:val="00AC2BD0"/>
    <w:rsid w:val="00AC301F"/>
    <w:rsid w:val="00AC40E0"/>
    <w:rsid w:val="00AD1D8A"/>
    <w:rsid w:val="00AE164E"/>
    <w:rsid w:val="00AE501B"/>
    <w:rsid w:val="00AF36B4"/>
    <w:rsid w:val="00AF4112"/>
    <w:rsid w:val="00AF4D37"/>
    <w:rsid w:val="00B045C9"/>
    <w:rsid w:val="00B05939"/>
    <w:rsid w:val="00B060B6"/>
    <w:rsid w:val="00B111D7"/>
    <w:rsid w:val="00B14A58"/>
    <w:rsid w:val="00B202C3"/>
    <w:rsid w:val="00B20524"/>
    <w:rsid w:val="00B2183B"/>
    <w:rsid w:val="00B230A7"/>
    <w:rsid w:val="00B26959"/>
    <w:rsid w:val="00B3126C"/>
    <w:rsid w:val="00B327CA"/>
    <w:rsid w:val="00B3345A"/>
    <w:rsid w:val="00B35A94"/>
    <w:rsid w:val="00B37022"/>
    <w:rsid w:val="00B37524"/>
    <w:rsid w:val="00B37CE4"/>
    <w:rsid w:val="00B4510B"/>
    <w:rsid w:val="00B4735F"/>
    <w:rsid w:val="00B533EC"/>
    <w:rsid w:val="00B53B53"/>
    <w:rsid w:val="00B53F32"/>
    <w:rsid w:val="00B57AA7"/>
    <w:rsid w:val="00B63819"/>
    <w:rsid w:val="00B63BB4"/>
    <w:rsid w:val="00B66A72"/>
    <w:rsid w:val="00B738B4"/>
    <w:rsid w:val="00B745A2"/>
    <w:rsid w:val="00B80053"/>
    <w:rsid w:val="00B80D89"/>
    <w:rsid w:val="00B86486"/>
    <w:rsid w:val="00B9105A"/>
    <w:rsid w:val="00B9181E"/>
    <w:rsid w:val="00B91B71"/>
    <w:rsid w:val="00B91DDA"/>
    <w:rsid w:val="00B95694"/>
    <w:rsid w:val="00BA0C22"/>
    <w:rsid w:val="00BA2312"/>
    <w:rsid w:val="00BA2410"/>
    <w:rsid w:val="00BA3DA2"/>
    <w:rsid w:val="00BB3BA8"/>
    <w:rsid w:val="00BC23A9"/>
    <w:rsid w:val="00BC2F9F"/>
    <w:rsid w:val="00BC73D1"/>
    <w:rsid w:val="00BD166A"/>
    <w:rsid w:val="00BD5BDC"/>
    <w:rsid w:val="00BD6CFD"/>
    <w:rsid w:val="00BE1ACD"/>
    <w:rsid w:val="00BE7B37"/>
    <w:rsid w:val="00BE7B38"/>
    <w:rsid w:val="00BF164A"/>
    <w:rsid w:val="00BF426C"/>
    <w:rsid w:val="00BF70A7"/>
    <w:rsid w:val="00BF7EA5"/>
    <w:rsid w:val="00C03A30"/>
    <w:rsid w:val="00C04415"/>
    <w:rsid w:val="00C0612A"/>
    <w:rsid w:val="00C07937"/>
    <w:rsid w:val="00C14788"/>
    <w:rsid w:val="00C14AFC"/>
    <w:rsid w:val="00C16100"/>
    <w:rsid w:val="00C25BD5"/>
    <w:rsid w:val="00C26A54"/>
    <w:rsid w:val="00C323EE"/>
    <w:rsid w:val="00C3511B"/>
    <w:rsid w:val="00C36080"/>
    <w:rsid w:val="00C37845"/>
    <w:rsid w:val="00C42EE8"/>
    <w:rsid w:val="00C43C7A"/>
    <w:rsid w:val="00C44C30"/>
    <w:rsid w:val="00C45366"/>
    <w:rsid w:val="00C4591F"/>
    <w:rsid w:val="00C46559"/>
    <w:rsid w:val="00C55340"/>
    <w:rsid w:val="00C62F2B"/>
    <w:rsid w:val="00C6379D"/>
    <w:rsid w:val="00C66EC4"/>
    <w:rsid w:val="00C671E6"/>
    <w:rsid w:val="00C739E5"/>
    <w:rsid w:val="00C85454"/>
    <w:rsid w:val="00C925B6"/>
    <w:rsid w:val="00C94B72"/>
    <w:rsid w:val="00C95782"/>
    <w:rsid w:val="00C95E3C"/>
    <w:rsid w:val="00C97039"/>
    <w:rsid w:val="00C97711"/>
    <w:rsid w:val="00C97755"/>
    <w:rsid w:val="00CA04DA"/>
    <w:rsid w:val="00CA0BAF"/>
    <w:rsid w:val="00CB2BF1"/>
    <w:rsid w:val="00CB5150"/>
    <w:rsid w:val="00CB5E17"/>
    <w:rsid w:val="00CB5FF5"/>
    <w:rsid w:val="00CC0666"/>
    <w:rsid w:val="00CC1CB0"/>
    <w:rsid w:val="00CC1EAC"/>
    <w:rsid w:val="00CC3421"/>
    <w:rsid w:val="00CD063D"/>
    <w:rsid w:val="00CD0EF6"/>
    <w:rsid w:val="00CD0F75"/>
    <w:rsid w:val="00CD3151"/>
    <w:rsid w:val="00CE38FC"/>
    <w:rsid w:val="00CF3081"/>
    <w:rsid w:val="00CF4E21"/>
    <w:rsid w:val="00D00360"/>
    <w:rsid w:val="00D016F6"/>
    <w:rsid w:val="00D04034"/>
    <w:rsid w:val="00D06751"/>
    <w:rsid w:val="00D07818"/>
    <w:rsid w:val="00D1650E"/>
    <w:rsid w:val="00D17593"/>
    <w:rsid w:val="00D214A1"/>
    <w:rsid w:val="00D21A57"/>
    <w:rsid w:val="00D2791E"/>
    <w:rsid w:val="00D31D11"/>
    <w:rsid w:val="00D33316"/>
    <w:rsid w:val="00D33B8F"/>
    <w:rsid w:val="00D35A95"/>
    <w:rsid w:val="00D35E73"/>
    <w:rsid w:val="00D41B06"/>
    <w:rsid w:val="00D46E40"/>
    <w:rsid w:val="00D500A1"/>
    <w:rsid w:val="00D52C1C"/>
    <w:rsid w:val="00D53310"/>
    <w:rsid w:val="00D56EF5"/>
    <w:rsid w:val="00D576C5"/>
    <w:rsid w:val="00D576E4"/>
    <w:rsid w:val="00D606DD"/>
    <w:rsid w:val="00D65B4D"/>
    <w:rsid w:val="00D65F98"/>
    <w:rsid w:val="00D660F1"/>
    <w:rsid w:val="00D70F41"/>
    <w:rsid w:val="00D73158"/>
    <w:rsid w:val="00D734AA"/>
    <w:rsid w:val="00D7379B"/>
    <w:rsid w:val="00D8175D"/>
    <w:rsid w:val="00D82934"/>
    <w:rsid w:val="00D83463"/>
    <w:rsid w:val="00D856D5"/>
    <w:rsid w:val="00D87E1D"/>
    <w:rsid w:val="00D904EF"/>
    <w:rsid w:val="00D90A8D"/>
    <w:rsid w:val="00D94470"/>
    <w:rsid w:val="00D9536E"/>
    <w:rsid w:val="00D96F9F"/>
    <w:rsid w:val="00DB276F"/>
    <w:rsid w:val="00DB3068"/>
    <w:rsid w:val="00DB5458"/>
    <w:rsid w:val="00DB5CB8"/>
    <w:rsid w:val="00DB623D"/>
    <w:rsid w:val="00DB7A87"/>
    <w:rsid w:val="00DC43C1"/>
    <w:rsid w:val="00DC712B"/>
    <w:rsid w:val="00DD6207"/>
    <w:rsid w:val="00DD6704"/>
    <w:rsid w:val="00DE019F"/>
    <w:rsid w:val="00DE0DC6"/>
    <w:rsid w:val="00DE1CDC"/>
    <w:rsid w:val="00DE4C3E"/>
    <w:rsid w:val="00DF70FC"/>
    <w:rsid w:val="00E009C7"/>
    <w:rsid w:val="00E01789"/>
    <w:rsid w:val="00E01BE8"/>
    <w:rsid w:val="00E0282F"/>
    <w:rsid w:val="00E02A59"/>
    <w:rsid w:val="00E03BE0"/>
    <w:rsid w:val="00E11CC4"/>
    <w:rsid w:val="00E14D4D"/>
    <w:rsid w:val="00E16A7D"/>
    <w:rsid w:val="00E20305"/>
    <w:rsid w:val="00E2448C"/>
    <w:rsid w:val="00E27767"/>
    <w:rsid w:val="00E3212C"/>
    <w:rsid w:val="00E321C6"/>
    <w:rsid w:val="00E34810"/>
    <w:rsid w:val="00E35501"/>
    <w:rsid w:val="00E35CC9"/>
    <w:rsid w:val="00E36402"/>
    <w:rsid w:val="00E3655A"/>
    <w:rsid w:val="00E36CDF"/>
    <w:rsid w:val="00E4312A"/>
    <w:rsid w:val="00E517A5"/>
    <w:rsid w:val="00E56697"/>
    <w:rsid w:val="00E579CD"/>
    <w:rsid w:val="00E6014A"/>
    <w:rsid w:val="00E60812"/>
    <w:rsid w:val="00E6760B"/>
    <w:rsid w:val="00E705E2"/>
    <w:rsid w:val="00E731EC"/>
    <w:rsid w:val="00E759D5"/>
    <w:rsid w:val="00E76383"/>
    <w:rsid w:val="00E7732B"/>
    <w:rsid w:val="00E82D00"/>
    <w:rsid w:val="00E8478A"/>
    <w:rsid w:val="00E85078"/>
    <w:rsid w:val="00E86E7F"/>
    <w:rsid w:val="00E9184B"/>
    <w:rsid w:val="00E91B80"/>
    <w:rsid w:val="00E922B2"/>
    <w:rsid w:val="00E93460"/>
    <w:rsid w:val="00E93EFE"/>
    <w:rsid w:val="00E94140"/>
    <w:rsid w:val="00E94D82"/>
    <w:rsid w:val="00E96913"/>
    <w:rsid w:val="00E969D5"/>
    <w:rsid w:val="00EA3E2C"/>
    <w:rsid w:val="00EA4F3F"/>
    <w:rsid w:val="00EA5EA9"/>
    <w:rsid w:val="00EA69EB"/>
    <w:rsid w:val="00EA7E0D"/>
    <w:rsid w:val="00EB1B79"/>
    <w:rsid w:val="00EB362F"/>
    <w:rsid w:val="00EB4BC0"/>
    <w:rsid w:val="00EB4D7E"/>
    <w:rsid w:val="00EC0449"/>
    <w:rsid w:val="00ED1214"/>
    <w:rsid w:val="00ED4D1B"/>
    <w:rsid w:val="00ED5389"/>
    <w:rsid w:val="00EE0EAA"/>
    <w:rsid w:val="00EE4B18"/>
    <w:rsid w:val="00EE4E3F"/>
    <w:rsid w:val="00EE698F"/>
    <w:rsid w:val="00EF1DCD"/>
    <w:rsid w:val="00EF28F5"/>
    <w:rsid w:val="00EF2A9E"/>
    <w:rsid w:val="00EF53DE"/>
    <w:rsid w:val="00EF6E80"/>
    <w:rsid w:val="00EF740E"/>
    <w:rsid w:val="00F020B4"/>
    <w:rsid w:val="00F033F8"/>
    <w:rsid w:val="00F03E3E"/>
    <w:rsid w:val="00F214DB"/>
    <w:rsid w:val="00F22C29"/>
    <w:rsid w:val="00F22E99"/>
    <w:rsid w:val="00F24785"/>
    <w:rsid w:val="00F25D5C"/>
    <w:rsid w:val="00F2691D"/>
    <w:rsid w:val="00F32125"/>
    <w:rsid w:val="00F34CED"/>
    <w:rsid w:val="00F36574"/>
    <w:rsid w:val="00F43B1D"/>
    <w:rsid w:val="00F46C3D"/>
    <w:rsid w:val="00F51155"/>
    <w:rsid w:val="00F5173C"/>
    <w:rsid w:val="00F52F5A"/>
    <w:rsid w:val="00F53385"/>
    <w:rsid w:val="00F575B2"/>
    <w:rsid w:val="00F57638"/>
    <w:rsid w:val="00F60425"/>
    <w:rsid w:val="00F604A2"/>
    <w:rsid w:val="00F606D5"/>
    <w:rsid w:val="00F62C86"/>
    <w:rsid w:val="00F6486F"/>
    <w:rsid w:val="00F64888"/>
    <w:rsid w:val="00F7051B"/>
    <w:rsid w:val="00F71CD3"/>
    <w:rsid w:val="00F76269"/>
    <w:rsid w:val="00F80760"/>
    <w:rsid w:val="00F82A58"/>
    <w:rsid w:val="00F82F5B"/>
    <w:rsid w:val="00F85D4A"/>
    <w:rsid w:val="00F86D60"/>
    <w:rsid w:val="00F87DB1"/>
    <w:rsid w:val="00F922B5"/>
    <w:rsid w:val="00F92989"/>
    <w:rsid w:val="00F94711"/>
    <w:rsid w:val="00F94D95"/>
    <w:rsid w:val="00F957D3"/>
    <w:rsid w:val="00F95F74"/>
    <w:rsid w:val="00F96367"/>
    <w:rsid w:val="00FA787A"/>
    <w:rsid w:val="00FA7E07"/>
    <w:rsid w:val="00FB04E6"/>
    <w:rsid w:val="00FB6B4B"/>
    <w:rsid w:val="00FB71A1"/>
    <w:rsid w:val="00FB72F7"/>
    <w:rsid w:val="00FC0C37"/>
    <w:rsid w:val="00FC1972"/>
    <w:rsid w:val="00FC2E3B"/>
    <w:rsid w:val="00FC5ADC"/>
    <w:rsid w:val="00FD2A3A"/>
    <w:rsid w:val="00FD6553"/>
    <w:rsid w:val="00FD7B08"/>
    <w:rsid w:val="00FE236A"/>
    <w:rsid w:val="00FE2F60"/>
    <w:rsid w:val="00FF1ED8"/>
    <w:rsid w:val="00FF2A1C"/>
    <w:rsid w:val="00FF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78260"/>
  <w15:chartTrackingRefBased/>
  <w15:docId w15:val="{A406629D-7186-4C95-932C-F80CF3DA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71A83"/>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2BD5"/>
    <w:pPr>
      <w:tabs>
        <w:tab w:val="center" w:pos="4680"/>
        <w:tab w:val="right" w:pos="9360"/>
      </w:tabs>
    </w:pPr>
  </w:style>
  <w:style w:type="character" w:customStyle="1" w:styleId="EncabezadoCar">
    <w:name w:val="Encabezado Car"/>
    <w:basedOn w:val="Fuentedeprrafopredeter"/>
    <w:link w:val="Encabezado"/>
    <w:uiPriority w:val="99"/>
    <w:rsid w:val="00692BD5"/>
  </w:style>
  <w:style w:type="paragraph" w:styleId="Piedepgina">
    <w:name w:val="footer"/>
    <w:basedOn w:val="Normal"/>
    <w:link w:val="PiedepginaCar"/>
    <w:uiPriority w:val="99"/>
    <w:unhideWhenUsed/>
    <w:rsid w:val="00692BD5"/>
    <w:pPr>
      <w:tabs>
        <w:tab w:val="center" w:pos="4680"/>
        <w:tab w:val="right" w:pos="9360"/>
      </w:tabs>
    </w:pPr>
  </w:style>
  <w:style w:type="character" w:customStyle="1" w:styleId="PiedepginaCar">
    <w:name w:val="Pie de página Car"/>
    <w:basedOn w:val="Fuentedeprrafopredeter"/>
    <w:link w:val="Piedepgina"/>
    <w:uiPriority w:val="99"/>
    <w:rsid w:val="00692BD5"/>
  </w:style>
  <w:style w:type="paragraph" w:styleId="Textoindependiente">
    <w:name w:val="Body Text"/>
    <w:basedOn w:val="Normal"/>
    <w:link w:val="TextoindependienteCar"/>
    <w:unhideWhenUsed/>
    <w:rsid w:val="009556EE"/>
    <w:pPr>
      <w:overflowPunct w:val="0"/>
      <w:autoSpaceDE w:val="0"/>
      <w:autoSpaceDN w:val="0"/>
      <w:adjustRightInd w:val="0"/>
      <w:jc w:val="both"/>
    </w:pPr>
    <w:rPr>
      <w:rFonts w:ascii="Arial Rounded MT Bold" w:eastAsia="Times New Roman" w:hAnsi="Arial Rounded MT Bold" w:cs="Times New Roman"/>
      <w:b/>
      <w:sz w:val="36"/>
      <w:szCs w:val="20"/>
      <w:lang w:val="es-ES_tradnl" w:eastAsia="es-ES"/>
    </w:rPr>
  </w:style>
  <w:style w:type="character" w:customStyle="1" w:styleId="TextoindependienteCar">
    <w:name w:val="Texto independiente Car"/>
    <w:basedOn w:val="Fuentedeprrafopredeter"/>
    <w:link w:val="Textoindependiente"/>
    <w:rsid w:val="009556EE"/>
    <w:rPr>
      <w:rFonts w:ascii="Arial Rounded MT Bold" w:eastAsia="Times New Roman" w:hAnsi="Arial Rounded MT Bold" w:cs="Times New Roman"/>
      <w:b/>
      <w:sz w:val="36"/>
      <w:szCs w:val="20"/>
      <w:lang w:val="es-ES_tradnl" w:eastAsia="es-ES"/>
    </w:rPr>
  </w:style>
  <w:style w:type="paragraph" w:styleId="Textodeglobo">
    <w:name w:val="Balloon Text"/>
    <w:basedOn w:val="Normal"/>
    <w:link w:val="TextodegloboCar"/>
    <w:uiPriority w:val="99"/>
    <w:semiHidden/>
    <w:unhideWhenUsed/>
    <w:rsid w:val="003735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3572"/>
    <w:rPr>
      <w:rFonts w:ascii="Segoe UI" w:hAnsi="Segoe UI" w:cs="Segoe UI"/>
      <w:sz w:val="18"/>
      <w:szCs w:val="18"/>
    </w:rPr>
  </w:style>
  <w:style w:type="character" w:styleId="Hipervnculo">
    <w:name w:val="Hyperlink"/>
    <w:basedOn w:val="Fuentedeprrafopredeter"/>
    <w:uiPriority w:val="99"/>
    <w:unhideWhenUsed/>
    <w:rsid w:val="00ED5389"/>
    <w:rPr>
      <w:color w:val="0563C1" w:themeColor="hyperlink"/>
      <w:u w:val="single"/>
    </w:rPr>
  </w:style>
  <w:style w:type="character" w:customStyle="1" w:styleId="Mencinsinresolver1">
    <w:name w:val="Mención sin resolver1"/>
    <w:basedOn w:val="Fuentedeprrafopredeter"/>
    <w:uiPriority w:val="99"/>
    <w:semiHidden/>
    <w:unhideWhenUsed/>
    <w:rsid w:val="00ED5389"/>
    <w:rPr>
      <w:color w:val="808080"/>
      <w:shd w:val="clear" w:color="auto" w:fill="E6E6E6"/>
    </w:rPr>
  </w:style>
  <w:style w:type="paragraph" w:styleId="Prrafodelista">
    <w:name w:val="List Paragraph"/>
    <w:basedOn w:val="Normal"/>
    <w:link w:val="PrrafodelistaCar"/>
    <w:uiPriority w:val="34"/>
    <w:qFormat/>
    <w:rsid w:val="00814E72"/>
    <w:pPr>
      <w:spacing w:after="160" w:line="252" w:lineRule="auto"/>
      <w:ind w:left="720"/>
      <w:contextualSpacing/>
    </w:pPr>
    <w:rPr>
      <w:rFonts w:ascii="Calibri" w:hAnsi="Calibri" w:cs="Calibri"/>
      <w:sz w:val="22"/>
      <w:szCs w:val="22"/>
      <w:lang w:val="es-MX"/>
    </w:rPr>
  </w:style>
  <w:style w:type="character" w:customStyle="1" w:styleId="PrrafodelistaCar">
    <w:name w:val="Párrafo de lista Car"/>
    <w:basedOn w:val="Fuentedeprrafopredeter"/>
    <w:link w:val="Prrafodelista"/>
    <w:locked/>
    <w:rsid w:val="00A8419A"/>
    <w:rPr>
      <w:rFonts w:ascii="Calibri" w:hAnsi="Calibri" w:cs="Calibri"/>
      <w:sz w:val="22"/>
      <w:szCs w:val="22"/>
      <w:lang w:val="es-MX"/>
    </w:rPr>
  </w:style>
  <w:style w:type="paragraph" w:styleId="Textonotapie">
    <w:name w:val="footnote text"/>
    <w:aliases w:val="ADB,single space,fn,ft,Footnote Text Char1,Footnote Text Char Char,FOOTNOTES,Schriftart: 9 pt,Schriftart: 10 pt,Schriftart: 8 pt,Footnotes,Footnote ak,Footnote Text Char1 Char1 Char,Footnote Text Char Char Char1 Char,footnote text,FA Fu"/>
    <w:basedOn w:val="Normal"/>
    <w:link w:val="TextonotapieCar"/>
    <w:uiPriority w:val="99"/>
    <w:unhideWhenUsed/>
    <w:rsid w:val="00743290"/>
    <w:rPr>
      <w:sz w:val="20"/>
      <w:szCs w:val="20"/>
    </w:rPr>
  </w:style>
  <w:style w:type="character" w:customStyle="1" w:styleId="TextonotapieCar">
    <w:name w:val="Texto nota pie Car"/>
    <w:aliases w:val="ADB Car,single space Car,fn Car,ft Car,Footnote Text Char1 Car,Footnote Text Char Char Car,FOOTNOTES Car,Schriftart: 9 pt Car,Schriftart: 10 pt Car,Schriftart: 8 pt Car,Footnotes Car,Footnote ak Car,Footnote Text Char1 Char1 Char Car"/>
    <w:basedOn w:val="Fuentedeprrafopredeter"/>
    <w:link w:val="Textonotapie"/>
    <w:uiPriority w:val="99"/>
    <w:rsid w:val="00743290"/>
    <w:rPr>
      <w:sz w:val="20"/>
      <w:szCs w:val="20"/>
    </w:rPr>
  </w:style>
  <w:style w:type="character" w:styleId="Refdenotaalpie">
    <w:name w:val="footnote reference"/>
    <w:aliases w:val="Ref,de nota al pie,ftref,BVI fnr,16 Point,Superscript 6 Point,(Diplomarbeit FZ),Footnote Reference,Texto de nota al pie,Footnotes refss,Appel note de bas de page,Footnote number,referencia nota al pie,f, BVI fnr,Ref. de nota al pie 2"/>
    <w:basedOn w:val="Fuentedeprrafopredeter"/>
    <w:uiPriority w:val="99"/>
    <w:unhideWhenUsed/>
    <w:rsid w:val="00743290"/>
    <w:rPr>
      <w:vertAlign w:val="superscript"/>
    </w:rPr>
  </w:style>
  <w:style w:type="character" w:customStyle="1" w:styleId="CharacterStyle2">
    <w:name w:val="Character Style 2"/>
    <w:uiPriority w:val="99"/>
    <w:rsid w:val="00515511"/>
    <w:rPr>
      <w:sz w:val="20"/>
      <w:szCs w:val="20"/>
    </w:rPr>
  </w:style>
  <w:style w:type="table" w:styleId="Tablaconcuadrcula">
    <w:name w:val="Table Grid"/>
    <w:basedOn w:val="Tablanormal"/>
    <w:uiPriority w:val="39"/>
    <w:rsid w:val="00405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71A83"/>
    <w:rPr>
      <w:rFonts w:ascii="Times New Roman" w:eastAsia="Times New Roman" w:hAnsi="Times New Roman" w:cs="Times New Roman"/>
      <w:b/>
      <w:bCs/>
      <w:kern w:val="36"/>
      <w:sz w:val="48"/>
      <w:szCs w:val="48"/>
      <w:lang w:val="es-MX" w:eastAsia="es-MX"/>
    </w:rPr>
  </w:style>
  <w:style w:type="paragraph" w:styleId="Sinespaciado">
    <w:name w:val="No Spacing"/>
    <w:link w:val="SinespaciadoCar"/>
    <w:uiPriority w:val="1"/>
    <w:qFormat/>
    <w:rsid w:val="00764FE7"/>
    <w:rPr>
      <w:rFonts w:ascii="Trebuchet MS" w:eastAsia="Times New Roman" w:hAnsi="Trebuchet MS" w:cs="Times New Roman"/>
      <w:sz w:val="20"/>
      <w:szCs w:val="20"/>
      <w:lang w:val="es-ES" w:eastAsia="es-ES"/>
    </w:rPr>
  </w:style>
  <w:style w:type="character" w:customStyle="1" w:styleId="SinespaciadoCar">
    <w:name w:val="Sin espaciado Car"/>
    <w:link w:val="Sinespaciado"/>
    <w:uiPriority w:val="1"/>
    <w:rsid w:val="00764FE7"/>
    <w:rPr>
      <w:rFonts w:ascii="Trebuchet MS" w:eastAsia="Times New Roman" w:hAnsi="Trebuchet MS" w:cs="Times New Roman"/>
      <w:sz w:val="20"/>
      <w:szCs w:val="20"/>
      <w:lang w:val="es-ES" w:eastAsia="es-ES"/>
    </w:rPr>
  </w:style>
  <w:style w:type="paragraph" w:styleId="NormalWeb">
    <w:name w:val="Normal (Web)"/>
    <w:basedOn w:val="Normal"/>
    <w:uiPriority w:val="99"/>
    <w:semiHidden/>
    <w:unhideWhenUsed/>
    <w:rsid w:val="00F24785"/>
    <w:rPr>
      <w:rFonts w:ascii="Calibri" w:hAnsi="Calibri" w:cs="Calibri"/>
      <w:sz w:val="22"/>
      <w:szCs w:val="22"/>
      <w:lang w:val="es-MX" w:eastAsia="es-MX"/>
    </w:rPr>
  </w:style>
  <w:style w:type="character" w:styleId="Mencinsinresolver">
    <w:name w:val="Unresolved Mention"/>
    <w:basedOn w:val="Fuentedeprrafopredeter"/>
    <w:uiPriority w:val="99"/>
    <w:semiHidden/>
    <w:unhideWhenUsed/>
    <w:rsid w:val="00CA0BAF"/>
    <w:rPr>
      <w:color w:val="605E5C"/>
      <w:shd w:val="clear" w:color="auto" w:fill="E1DFDD"/>
    </w:rPr>
  </w:style>
  <w:style w:type="paragraph" w:customStyle="1" w:styleId="TableParagraph">
    <w:name w:val="Table Paragraph"/>
    <w:basedOn w:val="Normal"/>
    <w:uiPriority w:val="1"/>
    <w:qFormat/>
    <w:rsid w:val="00C04415"/>
    <w:pPr>
      <w:widowControl w:val="0"/>
      <w:autoSpaceDE w:val="0"/>
      <w:autoSpaceDN w:val="0"/>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5929">
      <w:bodyDiv w:val="1"/>
      <w:marLeft w:val="0"/>
      <w:marRight w:val="0"/>
      <w:marTop w:val="0"/>
      <w:marBottom w:val="0"/>
      <w:divBdr>
        <w:top w:val="none" w:sz="0" w:space="0" w:color="auto"/>
        <w:left w:val="none" w:sz="0" w:space="0" w:color="auto"/>
        <w:bottom w:val="none" w:sz="0" w:space="0" w:color="auto"/>
        <w:right w:val="none" w:sz="0" w:space="0" w:color="auto"/>
      </w:divBdr>
    </w:div>
    <w:div w:id="478305826">
      <w:bodyDiv w:val="1"/>
      <w:marLeft w:val="0"/>
      <w:marRight w:val="0"/>
      <w:marTop w:val="0"/>
      <w:marBottom w:val="0"/>
      <w:divBdr>
        <w:top w:val="none" w:sz="0" w:space="0" w:color="auto"/>
        <w:left w:val="none" w:sz="0" w:space="0" w:color="auto"/>
        <w:bottom w:val="none" w:sz="0" w:space="0" w:color="auto"/>
        <w:right w:val="none" w:sz="0" w:space="0" w:color="auto"/>
      </w:divBdr>
    </w:div>
    <w:div w:id="566452741">
      <w:bodyDiv w:val="1"/>
      <w:marLeft w:val="0"/>
      <w:marRight w:val="0"/>
      <w:marTop w:val="0"/>
      <w:marBottom w:val="0"/>
      <w:divBdr>
        <w:top w:val="none" w:sz="0" w:space="0" w:color="auto"/>
        <w:left w:val="none" w:sz="0" w:space="0" w:color="auto"/>
        <w:bottom w:val="none" w:sz="0" w:space="0" w:color="auto"/>
        <w:right w:val="none" w:sz="0" w:space="0" w:color="auto"/>
      </w:divBdr>
    </w:div>
    <w:div w:id="653068154">
      <w:bodyDiv w:val="1"/>
      <w:marLeft w:val="0"/>
      <w:marRight w:val="0"/>
      <w:marTop w:val="0"/>
      <w:marBottom w:val="0"/>
      <w:divBdr>
        <w:top w:val="none" w:sz="0" w:space="0" w:color="auto"/>
        <w:left w:val="none" w:sz="0" w:space="0" w:color="auto"/>
        <w:bottom w:val="none" w:sz="0" w:space="0" w:color="auto"/>
        <w:right w:val="none" w:sz="0" w:space="0" w:color="auto"/>
      </w:divBdr>
    </w:div>
    <w:div w:id="730809478">
      <w:bodyDiv w:val="1"/>
      <w:marLeft w:val="0"/>
      <w:marRight w:val="0"/>
      <w:marTop w:val="0"/>
      <w:marBottom w:val="0"/>
      <w:divBdr>
        <w:top w:val="none" w:sz="0" w:space="0" w:color="auto"/>
        <w:left w:val="none" w:sz="0" w:space="0" w:color="auto"/>
        <w:bottom w:val="none" w:sz="0" w:space="0" w:color="auto"/>
        <w:right w:val="none" w:sz="0" w:space="0" w:color="auto"/>
      </w:divBdr>
    </w:div>
    <w:div w:id="876434827">
      <w:bodyDiv w:val="1"/>
      <w:marLeft w:val="0"/>
      <w:marRight w:val="0"/>
      <w:marTop w:val="0"/>
      <w:marBottom w:val="0"/>
      <w:divBdr>
        <w:top w:val="none" w:sz="0" w:space="0" w:color="auto"/>
        <w:left w:val="none" w:sz="0" w:space="0" w:color="auto"/>
        <w:bottom w:val="none" w:sz="0" w:space="0" w:color="auto"/>
        <w:right w:val="none" w:sz="0" w:space="0" w:color="auto"/>
      </w:divBdr>
    </w:div>
    <w:div w:id="924454691">
      <w:bodyDiv w:val="1"/>
      <w:marLeft w:val="0"/>
      <w:marRight w:val="0"/>
      <w:marTop w:val="0"/>
      <w:marBottom w:val="0"/>
      <w:divBdr>
        <w:top w:val="none" w:sz="0" w:space="0" w:color="auto"/>
        <w:left w:val="none" w:sz="0" w:space="0" w:color="auto"/>
        <w:bottom w:val="none" w:sz="0" w:space="0" w:color="auto"/>
        <w:right w:val="none" w:sz="0" w:space="0" w:color="auto"/>
      </w:divBdr>
    </w:div>
    <w:div w:id="1008410139">
      <w:bodyDiv w:val="1"/>
      <w:marLeft w:val="0"/>
      <w:marRight w:val="0"/>
      <w:marTop w:val="0"/>
      <w:marBottom w:val="0"/>
      <w:divBdr>
        <w:top w:val="none" w:sz="0" w:space="0" w:color="auto"/>
        <w:left w:val="none" w:sz="0" w:space="0" w:color="auto"/>
        <w:bottom w:val="none" w:sz="0" w:space="0" w:color="auto"/>
        <w:right w:val="none" w:sz="0" w:space="0" w:color="auto"/>
      </w:divBdr>
    </w:div>
    <w:div w:id="1064837690">
      <w:bodyDiv w:val="1"/>
      <w:marLeft w:val="0"/>
      <w:marRight w:val="0"/>
      <w:marTop w:val="0"/>
      <w:marBottom w:val="0"/>
      <w:divBdr>
        <w:top w:val="none" w:sz="0" w:space="0" w:color="auto"/>
        <w:left w:val="none" w:sz="0" w:space="0" w:color="auto"/>
        <w:bottom w:val="none" w:sz="0" w:space="0" w:color="auto"/>
        <w:right w:val="none" w:sz="0" w:space="0" w:color="auto"/>
      </w:divBdr>
    </w:div>
    <w:div w:id="1256357860">
      <w:bodyDiv w:val="1"/>
      <w:marLeft w:val="0"/>
      <w:marRight w:val="0"/>
      <w:marTop w:val="0"/>
      <w:marBottom w:val="0"/>
      <w:divBdr>
        <w:top w:val="none" w:sz="0" w:space="0" w:color="auto"/>
        <w:left w:val="none" w:sz="0" w:space="0" w:color="auto"/>
        <w:bottom w:val="none" w:sz="0" w:space="0" w:color="auto"/>
        <w:right w:val="none" w:sz="0" w:space="0" w:color="auto"/>
      </w:divBdr>
    </w:div>
    <w:div w:id="1406881607">
      <w:bodyDiv w:val="1"/>
      <w:marLeft w:val="0"/>
      <w:marRight w:val="0"/>
      <w:marTop w:val="0"/>
      <w:marBottom w:val="0"/>
      <w:divBdr>
        <w:top w:val="none" w:sz="0" w:space="0" w:color="auto"/>
        <w:left w:val="none" w:sz="0" w:space="0" w:color="auto"/>
        <w:bottom w:val="none" w:sz="0" w:space="0" w:color="auto"/>
        <w:right w:val="none" w:sz="0" w:space="0" w:color="auto"/>
      </w:divBdr>
    </w:div>
    <w:div w:id="1411004548">
      <w:bodyDiv w:val="1"/>
      <w:marLeft w:val="0"/>
      <w:marRight w:val="0"/>
      <w:marTop w:val="0"/>
      <w:marBottom w:val="0"/>
      <w:divBdr>
        <w:top w:val="none" w:sz="0" w:space="0" w:color="auto"/>
        <w:left w:val="none" w:sz="0" w:space="0" w:color="auto"/>
        <w:bottom w:val="none" w:sz="0" w:space="0" w:color="auto"/>
        <w:right w:val="none" w:sz="0" w:space="0" w:color="auto"/>
      </w:divBdr>
    </w:div>
    <w:div w:id="1476218789">
      <w:bodyDiv w:val="1"/>
      <w:marLeft w:val="0"/>
      <w:marRight w:val="0"/>
      <w:marTop w:val="0"/>
      <w:marBottom w:val="0"/>
      <w:divBdr>
        <w:top w:val="none" w:sz="0" w:space="0" w:color="auto"/>
        <w:left w:val="none" w:sz="0" w:space="0" w:color="auto"/>
        <w:bottom w:val="none" w:sz="0" w:space="0" w:color="auto"/>
        <w:right w:val="none" w:sz="0" w:space="0" w:color="auto"/>
      </w:divBdr>
      <w:divsChild>
        <w:div w:id="1160003457">
          <w:marLeft w:val="0"/>
          <w:marRight w:val="0"/>
          <w:marTop w:val="0"/>
          <w:marBottom w:val="0"/>
          <w:divBdr>
            <w:top w:val="none" w:sz="0" w:space="0" w:color="auto"/>
            <w:left w:val="none" w:sz="0" w:space="0" w:color="auto"/>
            <w:bottom w:val="none" w:sz="0" w:space="0" w:color="auto"/>
            <w:right w:val="none" w:sz="0" w:space="0" w:color="auto"/>
          </w:divBdr>
        </w:div>
      </w:divsChild>
    </w:div>
    <w:div w:id="1515415592">
      <w:bodyDiv w:val="1"/>
      <w:marLeft w:val="0"/>
      <w:marRight w:val="0"/>
      <w:marTop w:val="0"/>
      <w:marBottom w:val="0"/>
      <w:divBdr>
        <w:top w:val="none" w:sz="0" w:space="0" w:color="auto"/>
        <w:left w:val="none" w:sz="0" w:space="0" w:color="auto"/>
        <w:bottom w:val="none" w:sz="0" w:space="0" w:color="auto"/>
        <w:right w:val="none" w:sz="0" w:space="0" w:color="auto"/>
      </w:divBdr>
    </w:div>
    <w:div w:id="1542203012">
      <w:bodyDiv w:val="1"/>
      <w:marLeft w:val="0"/>
      <w:marRight w:val="0"/>
      <w:marTop w:val="0"/>
      <w:marBottom w:val="0"/>
      <w:divBdr>
        <w:top w:val="none" w:sz="0" w:space="0" w:color="auto"/>
        <w:left w:val="none" w:sz="0" w:space="0" w:color="auto"/>
        <w:bottom w:val="none" w:sz="0" w:space="0" w:color="auto"/>
        <w:right w:val="none" w:sz="0" w:space="0" w:color="auto"/>
      </w:divBdr>
    </w:div>
    <w:div w:id="1626621895">
      <w:bodyDiv w:val="1"/>
      <w:marLeft w:val="0"/>
      <w:marRight w:val="0"/>
      <w:marTop w:val="0"/>
      <w:marBottom w:val="0"/>
      <w:divBdr>
        <w:top w:val="none" w:sz="0" w:space="0" w:color="auto"/>
        <w:left w:val="none" w:sz="0" w:space="0" w:color="auto"/>
        <w:bottom w:val="none" w:sz="0" w:space="0" w:color="auto"/>
        <w:right w:val="none" w:sz="0" w:space="0" w:color="auto"/>
      </w:divBdr>
    </w:div>
    <w:div w:id="1627078944">
      <w:bodyDiv w:val="1"/>
      <w:marLeft w:val="0"/>
      <w:marRight w:val="0"/>
      <w:marTop w:val="0"/>
      <w:marBottom w:val="0"/>
      <w:divBdr>
        <w:top w:val="none" w:sz="0" w:space="0" w:color="auto"/>
        <w:left w:val="none" w:sz="0" w:space="0" w:color="auto"/>
        <w:bottom w:val="none" w:sz="0" w:space="0" w:color="auto"/>
        <w:right w:val="none" w:sz="0" w:space="0" w:color="auto"/>
      </w:divBdr>
    </w:div>
    <w:div w:id="1677883701">
      <w:bodyDiv w:val="1"/>
      <w:marLeft w:val="0"/>
      <w:marRight w:val="0"/>
      <w:marTop w:val="0"/>
      <w:marBottom w:val="0"/>
      <w:divBdr>
        <w:top w:val="none" w:sz="0" w:space="0" w:color="auto"/>
        <w:left w:val="none" w:sz="0" w:space="0" w:color="auto"/>
        <w:bottom w:val="none" w:sz="0" w:space="0" w:color="auto"/>
        <w:right w:val="none" w:sz="0" w:space="0" w:color="auto"/>
      </w:divBdr>
      <w:divsChild>
        <w:div w:id="1314065782">
          <w:marLeft w:val="0"/>
          <w:marRight w:val="0"/>
          <w:marTop w:val="0"/>
          <w:marBottom w:val="0"/>
          <w:divBdr>
            <w:top w:val="none" w:sz="0" w:space="0" w:color="auto"/>
            <w:left w:val="none" w:sz="0" w:space="0" w:color="auto"/>
            <w:bottom w:val="none" w:sz="0" w:space="0" w:color="auto"/>
            <w:right w:val="none" w:sz="0" w:space="0" w:color="auto"/>
          </w:divBdr>
        </w:div>
      </w:divsChild>
    </w:div>
    <w:div w:id="1882551212">
      <w:bodyDiv w:val="1"/>
      <w:marLeft w:val="0"/>
      <w:marRight w:val="0"/>
      <w:marTop w:val="0"/>
      <w:marBottom w:val="0"/>
      <w:divBdr>
        <w:top w:val="none" w:sz="0" w:space="0" w:color="auto"/>
        <w:left w:val="none" w:sz="0" w:space="0" w:color="auto"/>
        <w:bottom w:val="none" w:sz="0" w:space="0" w:color="auto"/>
        <w:right w:val="none" w:sz="0" w:space="0" w:color="auto"/>
      </w:divBdr>
      <w:divsChild>
        <w:div w:id="880559312">
          <w:marLeft w:val="0"/>
          <w:marRight w:val="0"/>
          <w:marTop w:val="0"/>
          <w:marBottom w:val="0"/>
          <w:divBdr>
            <w:top w:val="none" w:sz="0" w:space="0" w:color="auto"/>
            <w:left w:val="none" w:sz="0" w:space="0" w:color="auto"/>
            <w:bottom w:val="none" w:sz="0" w:space="0" w:color="auto"/>
            <w:right w:val="none" w:sz="0" w:space="0" w:color="auto"/>
          </w:divBdr>
        </w:div>
      </w:divsChild>
    </w:div>
    <w:div w:id="1950697980">
      <w:bodyDiv w:val="1"/>
      <w:marLeft w:val="0"/>
      <w:marRight w:val="0"/>
      <w:marTop w:val="0"/>
      <w:marBottom w:val="0"/>
      <w:divBdr>
        <w:top w:val="none" w:sz="0" w:space="0" w:color="auto"/>
        <w:left w:val="none" w:sz="0" w:space="0" w:color="auto"/>
        <w:bottom w:val="none" w:sz="0" w:space="0" w:color="auto"/>
        <w:right w:val="none" w:sz="0" w:space="0" w:color="auto"/>
      </w:divBdr>
    </w:div>
    <w:div w:id="2036881889">
      <w:bodyDiv w:val="1"/>
      <w:marLeft w:val="0"/>
      <w:marRight w:val="0"/>
      <w:marTop w:val="0"/>
      <w:marBottom w:val="0"/>
      <w:divBdr>
        <w:top w:val="none" w:sz="0" w:space="0" w:color="auto"/>
        <w:left w:val="none" w:sz="0" w:space="0" w:color="auto"/>
        <w:bottom w:val="none" w:sz="0" w:space="0" w:color="auto"/>
        <w:right w:val="none" w:sz="0" w:space="0" w:color="auto"/>
      </w:divBdr>
    </w:div>
    <w:div w:id="21459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ydetransparencia@pgr.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2FE7E-F1B8-4915-AFFD-76341851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1534</Words>
  <Characters>8437</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Cerón</cp:lastModifiedBy>
  <cp:revision>3</cp:revision>
  <cp:lastPrinted>2019-11-12T00:19:00Z</cp:lastPrinted>
  <dcterms:created xsi:type="dcterms:W3CDTF">2020-11-17T22:41:00Z</dcterms:created>
  <dcterms:modified xsi:type="dcterms:W3CDTF">2020-11-17T22:41:00Z</dcterms:modified>
</cp:coreProperties>
</file>